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29.08.2022 N 510-пп</w:t>
              <w:br/>
              <w:t xml:space="preserve">(ред. от 26.12.2022)</w:t>
              <w:br/>
              <w:t xml:space="preserve">"Об утверждении Порядка предоставления субсидий ГУП "Белоблводоканал" на возмещение затрат, связанных с производственной деятельностью"</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29 августа 2022 г. N 510-пп</w:t>
      </w:r>
    </w:p>
    <w:p>
      <w:pPr>
        <w:pStyle w:val="2"/>
        <w:jc w:val="center"/>
      </w:pPr>
      <w:r>
        <w:rPr>
          <w:sz w:val="20"/>
        </w:rPr>
      </w:r>
    </w:p>
    <w:p>
      <w:pPr>
        <w:pStyle w:val="2"/>
        <w:jc w:val="center"/>
      </w:pPr>
      <w:r>
        <w:rPr>
          <w:sz w:val="20"/>
        </w:rPr>
        <w:t xml:space="preserve">ОБ УТВЕРЖДЕНИИ ПОРЯДКА ПРЕДОСТАВЛЕНИЯ СУБСИДИЙ ГУП</w:t>
      </w:r>
    </w:p>
    <w:p>
      <w:pPr>
        <w:pStyle w:val="2"/>
        <w:jc w:val="center"/>
      </w:pPr>
      <w:r>
        <w:rPr>
          <w:sz w:val="20"/>
        </w:rPr>
        <w:t xml:space="preserve">"БЕЛОБЛВОДОКАНАЛ" НА ВОЗМЕЩЕНИЕ ЗАТРАТ, СВЯЗАННЫХ</w:t>
      </w:r>
    </w:p>
    <w:p>
      <w:pPr>
        <w:pStyle w:val="2"/>
        <w:jc w:val="center"/>
      </w:pPr>
      <w:r>
        <w:rPr>
          <w:sz w:val="20"/>
        </w:rPr>
        <w:t xml:space="preserve">С ПРОИЗВОДСТВЕННОЙ ДЕЯТЕЛЬНОСТЬЮ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26.12.2022 N 791-пп &quot;О внесении изменений в постановление Правительства Белгородской области от 29 августа 2022 года N 51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26.12.2022 N 791-пп)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со </w:t>
      </w:r>
      <w:hyperlink w:history="0" r:id="rId8" w:tooltip="&quot;Бюджетный кодекс Российской Федерации&quot; от 31.07.1998 N 145-ФЗ (ред. от 14.07.2022) ------------ Недействующая редакция {КонсультантПлюс}">
        <w:r>
          <w:rPr>
            <w:sz w:val="20"/>
            <w:color w:val="0000ff"/>
          </w:rPr>
          <w:t xml:space="preserve">статьей 78</w:t>
        </w:r>
      </w:hyperlink>
      <w:r>
        <w:rPr>
          <w:sz w:val="20"/>
        </w:rPr>
        <w:t xml:space="preserve"> Бюджетного кодекса Российской Федерации, </w:t>
      </w:r>
      <w:hyperlink w:history="0" r:id="rId9" w:tooltip="Постановление Правительства РФ от 18.09.2020 N 1492 (ред. от 05.04.2022) &quo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 Недействующая редакция {КонсультантПлюс}">
        <w:r>
          <w:rPr>
            <w:sz w:val="20"/>
            <w:color w:val="0000ff"/>
          </w:rPr>
          <w:t xml:space="preserve">постановлением</w:t>
        </w:r>
      </w:hyperlink>
      <w:r>
        <w:rPr>
          <w:sz w:val="20"/>
        </w:rPr>
        <w:t xml:space="preserve"> Правительства Российской Федерации от 18 сентября 2020 года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целях реализации мероприятий </w:t>
      </w:r>
      <w:hyperlink w:history="0" r:id="rId10" w:tooltip="Постановление Правительства Белгородской обл. от 28.10.2013 N 441-пп (ред. от 21.02.2022) &quot;Об утверждении государственной программы Белгородской области &quot;Обеспечение доступным и комфортным жильем и коммунальными услугами жителей Белгородской области&quot; ------------ Недействующая редакция {КонсультантПлюс}">
        <w:r>
          <w:rPr>
            <w:sz w:val="20"/>
            <w:color w:val="0000ff"/>
          </w:rPr>
          <w:t xml:space="preserve">подпрограммы</w:t>
        </w:r>
      </w:hyperlink>
      <w:r>
        <w:rPr>
          <w:sz w:val="20"/>
        </w:rPr>
        <w:t xml:space="preserve"> "Развитие и модернизация коммунального комплекса Белгородской области" государственной программы Белгородской области "Обеспечение доступным и комфортным жильем и коммунальными услугами жителей Белгородской области", утвержденной постановлением Правительства Белгородской области от 28 октября 2013 года N 441-пп (далее - подпрограмма),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9" w:tooltip="ПОРЯДОК">
        <w:r>
          <w:rPr>
            <w:sz w:val="20"/>
            <w:color w:val="0000ff"/>
          </w:rPr>
          <w:t xml:space="preserve">Порядок</w:t>
        </w:r>
      </w:hyperlink>
      <w:r>
        <w:rPr>
          <w:sz w:val="20"/>
        </w:rPr>
        <w:t xml:space="preserve"> предоставления субсидий ГУП "Белоблводоканал" на возмещение затрат, связанных с производственной деятельностью (далее - Порядок, прилагается).</w:t>
      </w:r>
    </w:p>
    <w:p>
      <w:pPr>
        <w:pStyle w:val="0"/>
        <w:jc w:val="both"/>
      </w:pPr>
      <w:r>
        <w:rPr>
          <w:sz w:val="20"/>
        </w:rPr>
      </w:r>
    </w:p>
    <w:p>
      <w:pPr>
        <w:pStyle w:val="0"/>
        <w:ind w:firstLine="540"/>
        <w:jc w:val="both"/>
      </w:pPr>
      <w:r>
        <w:rPr>
          <w:sz w:val="20"/>
        </w:rPr>
        <w:t xml:space="preserve">2. Министерству жилищно-коммунального хозяйства Белгородской области (Ботвиньев А.Н.) обеспечить исполнение Порядка, утвержденного в пункте 1 названного постановления.</w:t>
      </w:r>
    </w:p>
    <w:p>
      <w:pPr>
        <w:pStyle w:val="0"/>
        <w:jc w:val="both"/>
      </w:pPr>
      <w:r>
        <w:rPr>
          <w:sz w:val="20"/>
        </w:rPr>
      </w:r>
    </w:p>
    <w:p>
      <w:pPr>
        <w:pStyle w:val="0"/>
        <w:ind w:firstLine="540"/>
        <w:jc w:val="both"/>
      </w:pPr>
      <w:r>
        <w:rPr>
          <w:sz w:val="20"/>
        </w:rPr>
        <w:t xml:space="preserve">3. Министерству финансов и бюджетной политики Белгородской области (Боровик В.Ф.) обеспечить финансирование мероприятия подпрограммы на основании закона Белгородской области о бюджете Белгородской области на соответствующий финансовый год и плановый период.</w:t>
      </w:r>
    </w:p>
    <w:p>
      <w:pPr>
        <w:pStyle w:val="0"/>
        <w:jc w:val="both"/>
      </w:pPr>
      <w:r>
        <w:rPr>
          <w:sz w:val="20"/>
        </w:rPr>
      </w:r>
    </w:p>
    <w:p>
      <w:pPr>
        <w:pStyle w:val="0"/>
        <w:ind w:firstLine="540"/>
        <w:jc w:val="both"/>
      </w:pPr>
      <w:r>
        <w:rPr>
          <w:sz w:val="20"/>
        </w:rPr>
        <w:t xml:space="preserve">4. Контроль за исполнением настоящего постановления возложить на заместителя Губернатора Белгородской области Полежаева К.А.</w:t>
      </w:r>
    </w:p>
    <w:p>
      <w:pPr>
        <w:pStyle w:val="0"/>
        <w:jc w:val="both"/>
      </w:pPr>
      <w:r>
        <w:rPr>
          <w:sz w:val="20"/>
        </w:rPr>
      </w:r>
    </w:p>
    <w:p>
      <w:pPr>
        <w:pStyle w:val="0"/>
        <w:ind w:firstLine="540"/>
        <w:jc w:val="both"/>
      </w:pPr>
      <w:r>
        <w:rPr>
          <w:sz w:val="20"/>
        </w:rPr>
        <w:t xml:space="preserve">5.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29 августа 2022 г. N 510-пп</w:t>
      </w:r>
    </w:p>
    <w:p>
      <w:pPr>
        <w:pStyle w:val="0"/>
        <w:jc w:val="both"/>
      </w:pPr>
      <w:r>
        <w:rPr>
          <w:sz w:val="20"/>
        </w:rPr>
      </w:r>
    </w:p>
    <w:bookmarkStart w:id="39" w:name="P39"/>
    <w:bookmarkEnd w:id="39"/>
    <w:p>
      <w:pPr>
        <w:pStyle w:val="2"/>
        <w:jc w:val="center"/>
      </w:pPr>
      <w:r>
        <w:rPr>
          <w:sz w:val="20"/>
        </w:rPr>
        <w:t xml:space="preserve">ПОРЯДОК</w:t>
      </w:r>
    </w:p>
    <w:p>
      <w:pPr>
        <w:pStyle w:val="2"/>
        <w:jc w:val="center"/>
      </w:pPr>
      <w:r>
        <w:rPr>
          <w:sz w:val="20"/>
        </w:rPr>
        <w:t xml:space="preserve">ПРЕДОСТАВЛЕНИЯ СУБСИДИЙ ГУП "БЕЛОБЛВОДОКАНАЛ" НА ВОЗМЕЩЕНИЕ</w:t>
      </w:r>
    </w:p>
    <w:p>
      <w:pPr>
        <w:pStyle w:val="2"/>
        <w:jc w:val="center"/>
      </w:pPr>
      <w:r>
        <w:rPr>
          <w:sz w:val="20"/>
        </w:rPr>
        <w:t xml:space="preserve">ЗАТРАТ, СВЯЗАННЫХ С ПРОИЗВОДСТВЕННОЙ ДЕЯТЕЛЬНОСТЬЮ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1" w:tooltip="Постановление Правительства Белгородской обл. от 26.12.2022 N 791-пп &quot;О внесении изменений в постановление Правительства Белгородской области от 29 августа 2022 года N 51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26.12.2022 N 791-пп)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 Порядок предоставления субсидий ГУП "Белоблводоканал" на возмещение затрат, связанных с производственной деятельностью (далее - Порядок), определяет цели, условия и порядок предоставления и расходования субсидий, предусмотренных ГУП "Белоблводоканал" статьей расходов "Субсидии ГУП Белгородской области "Белоблводоканал" на возмещение затрат, связанных с производственной деятельностью" в рамках </w:t>
      </w:r>
      <w:hyperlink w:history="0" r:id="rId12" w:tooltip="Постановление Правительства Белгородской обл. от 28.10.2013 N 441-пп (ред. от 21.02.2022) &quot;Об утверждении государственной программы Белгородской области &quot;Обеспечение доступным и комфортным жильем и коммунальными услугами жителей Белгородской области&quot; ------------ Недействующая редакция {КонсультантПлюс}">
        <w:r>
          <w:rPr>
            <w:sz w:val="20"/>
            <w:color w:val="0000ff"/>
          </w:rPr>
          <w:t xml:space="preserve">подпрограммы</w:t>
        </w:r>
      </w:hyperlink>
      <w:r>
        <w:rPr>
          <w:sz w:val="20"/>
        </w:rPr>
        <w:t xml:space="preserve"> "Развитие и модернизация коммунального комплекса Белгородской области" государственной программы Белгородской области "Обеспечение доступным и комфортным жильем и коммунальными услугами жителей Белгородской области", утвержденной постановлением Правительства Белгородской области от 28 октября 2013 года N 441-пп (далее - субсидии, Подпрограмма соответственно).</w:t>
      </w:r>
    </w:p>
    <w:bookmarkStart w:id="49" w:name="P49"/>
    <w:bookmarkEnd w:id="49"/>
    <w:p>
      <w:pPr>
        <w:pStyle w:val="0"/>
        <w:spacing w:before="200" w:line-rule="auto"/>
        <w:ind w:firstLine="540"/>
        <w:jc w:val="both"/>
      </w:pPr>
      <w:r>
        <w:rPr>
          <w:sz w:val="20"/>
        </w:rPr>
        <w:t xml:space="preserve">1.1. В Порядке для целей его использования применяются следующие термины:</w:t>
      </w:r>
    </w:p>
    <w:p>
      <w:pPr>
        <w:pStyle w:val="0"/>
        <w:spacing w:before="200" w:line-rule="auto"/>
        <w:ind w:firstLine="540"/>
        <w:jc w:val="both"/>
      </w:pPr>
      <w:r>
        <w:rPr>
          <w:sz w:val="20"/>
        </w:rPr>
        <w:t xml:space="preserve">- затраты, связанные с производственной деятельностью, - эксплуатационные расходы, фактически понесенные организацией, но не учтенные в утвержденных тарифах на услуги водоснабжения и/или водоотведения, и расходы на погашение процентов по целевым займам в соответствии с договорами займа за счет средств Фонда содействия реформированию жилищно-коммунального хозяйства, полученных из Фонда национального благосостояния (далее - затраты, связанные с производственной деятельностью, Фонд соответственно).</w:t>
      </w:r>
    </w:p>
    <w:p>
      <w:pPr>
        <w:pStyle w:val="0"/>
        <w:jc w:val="both"/>
      </w:pPr>
      <w:r>
        <w:rPr>
          <w:sz w:val="20"/>
        </w:rPr>
        <w:t xml:space="preserve">(в ред. </w:t>
      </w:r>
      <w:hyperlink w:history="0" r:id="rId13" w:tooltip="Постановление Правительства Белгородской обл. от 26.12.2022 N 791-пп &quot;О внесении изменений в постановление Правительства Белгородской области от 29 августа 2022 года N 510-пп&quot; {КонсультантПлюс}">
        <w:r>
          <w:rPr>
            <w:sz w:val="20"/>
            <w:color w:val="0000ff"/>
          </w:rPr>
          <w:t xml:space="preserve">постановления</w:t>
        </w:r>
      </w:hyperlink>
      <w:r>
        <w:rPr>
          <w:sz w:val="20"/>
        </w:rPr>
        <w:t xml:space="preserve"> Правительства Белгородской области от 26.12.2022 N 791-пп)</w:t>
      </w:r>
    </w:p>
    <w:p>
      <w:pPr>
        <w:pStyle w:val="0"/>
        <w:spacing w:before="200" w:line-rule="auto"/>
        <w:ind w:firstLine="540"/>
        <w:jc w:val="both"/>
      </w:pPr>
      <w:r>
        <w:rPr>
          <w:sz w:val="20"/>
        </w:rPr>
        <w:t xml:space="preserve">1.2. Получателем субсидий является государственное унитарное предприятие Белгородской области "Белгородский областной водоканал" (далее - получатель субсидий, ГУП "Белоблводоканал").</w:t>
      </w:r>
    </w:p>
    <w:bookmarkStart w:id="53" w:name="P53"/>
    <w:bookmarkEnd w:id="53"/>
    <w:p>
      <w:pPr>
        <w:pStyle w:val="0"/>
        <w:spacing w:before="200" w:line-rule="auto"/>
        <w:ind w:firstLine="540"/>
        <w:jc w:val="both"/>
      </w:pPr>
      <w:r>
        <w:rPr>
          <w:sz w:val="20"/>
        </w:rPr>
        <w:t xml:space="preserve">1.3. Субсидии предоставляются на безвозмездной и безвозвратной основе из областного бюджета в целях частичного возмещения затрат, связанных с производственной деятельностью, в пределах бюджетных ассигнований на предоставление субсидий, предусмотренных законом Белгородской области о бюджете Белгородской области на соответствующий финансовый год и на плановый период, и лимитов бюджетных обязательств, доведенных в соответствии с бюджетным законодательством Российской Федерации до главного распорядителя средств - министерства жилищно-коммунального хозяйства Белгородской области как получателя бюджетных средств (далее - главный распорядитель) в рамках Подпрограммы.</w:t>
      </w:r>
    </w:p>
    <w:bookmarkStart w:id="54" w:name="P54"/>
    <w:bookmarkEnd w:id="54"/>
    <w:p>
      <w:pPr>
        <w:pStyle w:val="0"/>
        <w:spacing w:before="200" w:line-rule="auto"/>
        <w:ind w:firstLine="540"/>
        <w:jc w:val="both"/>
      </w:pPr>
      <w:r>
        <w:rPr>
          <w:sz w:val="20"/>
        </w:rPr>
        <w:t xml:space="preserve">1.4. Целью предоставления субсидий является частичное возмещение затрат ГУП "Белоблводоканал", связанных с производственной деятельностью, указанных в </w:t>
      </w:r>
      <w:hyperlink w:history="0" w:anchor="P49" w:tooltip="1.1. В Порядке для целей его использования применяются следующие термины:">
        <w:r>
          <w:rPr>
            <w:sz w:val="20"/>
            <w:color w:val="0000ff"/>
          </w:rPr>
          <w:t xml:space="preserve">пункте 1.1 раздела 1</w:t>
        </w:r>
      </w:hyperlink>
      <w:r>
        <w:rPr>
          <w:sz w:val="20"/>
        </w:rPr>
        <w:t xml:space="preserve"> Порядка.</w:t>
      </w:r>
    </w:p>
    <w:p>
      <w:pPr>
        <w:pStyle w:val="0"/>
        <w:spacing w:before="200" w:line-rule="auto"/>
        <w:ind w:firstLine="540"/>
        <w:jc w:val="both"/>
      </w:pPr>
      <w:r>
        <w:rPr>
          <w:sz w:val="20"/>
        </w:rPr>
        <w:t xml:space="preserve">1.5. Предоставление субсидий осуществляется в соответствии с соглашением о предоставлении субсидий, заключенным между главным распорядителем и получателем субсидии (далее - Соглашение).</w:t>
      </w:r>
    </w:p>
    <w:p>
      <w:pPr>
        <w:pStyle w:val="0"/>
        <w:spacing w:before="200" w:line-rule="auto"/>
        <w:ind w:firstLine="540"/>
        <w:jc w:val="both"/>
      </w:pPr>
      <w:r>
        <w:rPr>
          <w:sz w:val="20"/>
        </w:rPr>
        <w:t xml:space="preserve">1.6. Сведения о субсидиях размещаются на едином портале бюджетной системы Российской Федерации в сети Интернет (в разделе единого портала) не позднее 15-го рабочего дня, следующего за днем принятия закона об областном бюджете (закона о внесении изменений в закон об областном бюджете).</w:t>
      </w:r>
    </w:p>
    <w:p>
      <w:pPr>
        <w:pStyle w:val="0"/>
        <w:jc w:val="both"/>
      </w:pPr>
      <w:r>
        <w:rPr>
          <w:sz w:val="20"/>
        </w:rPr>
        <w:t xml:space="preserve">(пп. 1.6 в ред. </w:t>
      </w:r>
      <w:hyperlink w:history="0" r:id="rId14" w:tooltip="Постановление Правительства Белгородской обл. от 26.12.2022 N 791-пп &quot;О внесении изменений в постановление Правительства Белгородской области от 29 августа 2022 года N 510-пп&quot; {КонсультантПлюс}">
        <w:r>
          <w:rPr>
            <w:sz w:val="20"/>
            <w:color w:val="0000ff"/>
          </w:rPr>
          <w:t xml:space="preserve">постановления</w:t>
        </w:r>
      </w:hyperlink>
      <w:r>
        <w:rPr>
          <w:sz w:val="20"/>
        </w:rPr>
        <w:t xml:space="preserve"> Правительства Белгородской области от 26.12.2022 N 791-пп)</w:t>
      </w:r>
    </w:p>
    <w:p>
      <w:pPr>
        <w:pStyle w:val="0"/>
        <w:spacing w:before="200" w:line-rule="auto"/>
        <w:ind w:firstLine="540"/>
        <w:jc w:val="both"/>
      </w:pPr>
      <w:r>
        <w:rPr>
          <w:sz w:val="20"/>
        </w:rPr>
        <w:t xml:space="preserve">1.7. Результатом предоставления субсидий является частичная компенсация фактически понесенных расходов, не учтенных управлением по государственному регулированию цен и тарифов в Белгородской области, при формировании тарифов в сфере водоснабжения и водоотведения, но признанных экономически обоснованными.</w:t>
      </w:r>
    </w:p>
    <w:p>
      <w:pPr>
        <w:pStyle w:val="0"/>
        <w:jc w:val="both"/>
      </w:pPr>
      <w:r>
        <w:rPr>
          <w:sz w:val="20"/>
        </w:rPr>
      </w:r>
    </w:p>
    <w:p>
      <w:pPr>
        <w:pStyle w:val="2"/>
        <w:outlineLvl w:val="1"/>
        <w:jc w:val="center"/>
      </w:pPr>
      <w:r>
        <w:rPr>
          <w:sz w:val="20"/>
        </w:rPr>
        <w:t xml:space="preserve">2. Условия и порядок предоставления субсидий</w:t>
      </w:r>
    </w:p>
    <w:p>
      <w:pPr>
        <w:pStyle w:val="0"/>
        <w:jc w:val="both"/>
      </w:pPr>
      <w:r>
        <w:rPr>
          <w:sz w:val="20"/>
        </w:rPr>
      </w:r>
    </w:p>
    <w:p>
      <w:pPr>
        <w:pStyle w:val="0"/>
        <w:ind w:firstLine="540"/>
        <w:jc w:val="both"/>
      </w:pPr>
      <w:r>
        <w:rPr>
          <w:sz w:val="20"/>
        </w:rPr>
        <w:t xml:space="preserve">2.1. Условиями предоставления субсидий являются:</w:t>
      </w:r>
    </w:p>
    <w:p>
      <w:pPr>
        <w:pStyle w:val="0"/>
        <w:spacing w:before="200" w:line-rule="auto"/>
        <w:ind w:firstLine="540"/>
        <w:jc w:val="both"/>
      </w:pPr>
      <w:r>
        <w:rPr>
          <w:sz w:val="20"/>
        </w:rPr>
        <w:t xml:space="preserve">- документальное подтверждение затрат, связанных с производственной деятельностью;</w:t>
      </w:r>
    </w:p>
    <w:p>
      <w:pPr>
        <w:pStyle w:val="0"/>
        <w:spacing w:before="200" w:line-rule="auto"/>
        <w:ind w:firstLine="540"/>
        <w:jc w:val="both"/>
      </w:pPr>
      <w:r>
        <w:rPr>
          <w:sz w:val="20"/>
        </w:rPr>
        <w:t xml:space="preserve">- предоставление расчета планируемого размера субсидий с расшифровкой затрат, связанных с производственной деятельностью, по статьям затрат в пределах средств бюджета области, указанных в </w:t>
      </w:r>
      <w:hyperlink w:history="0" w:anchor="P53" w:tooltip="1.3. Субсидии предоставляются на безвозмездной и безвозвратной основе из областного бюджета в целях частичного возмещения затрат, связанных с производственной деятельностью, в пределах бюджетных ассигнований на предоставление субсидий, предусмотренных законом Белгородской области о бюджете Белгородской области на соответствующий финансовый год и на плановый период, и лимитов бюджетных обязательств, доведенных в соответствии с бюджетным законодательством Российской Федерации до главного распорядителя сред...">
        <w:r>
          <w:rPr>
            <w:sz w:val="20"/>
            <w:color w:val="0000ff"/>
          </w:rPr>
          <w:t xml:space="preserve">пункте 1.3 раздела 1</w:t>
        </w:r>
      </w:hyperlink>
      <w:r>
        <w:rPr>
          <w:sz w:val="20"/>
        </w:rPr>
        <w:t xml:space="preserve"> Порядка (далее - расчет затрат);</w:t>
      </w:r>
    </w:p>
    <w:p>
      <w:pPr>
        <w:pStyle w:val="0"/>
        <w:spacing w:before="200" w:line-rule="auto"/>
        <w:ind w:firstLine="540"/>
        <w:jc w:val="both"/>
      </w:pPr>
      <w:r>
        <w:rPr>
          <w:sz w:val="20"/>
        </w:rPr>
        <w:t xml:space="preserve">- соответствие получателя субсидий требованиям, установленным </w:t>
      </w:r>
      <w:hyperlink w:history="0" w:anchor="P71" w:tooltip="2.3. Субсидии предоставляются получателю субсидий при условии, если на первое число месяца, в котором планируется заключение Соглашения, получатель субсидий соответствует следующим требованиям:">
        <w:r>
          <w:rPr>
            <w:sz w:val="20"/>
            <w:color w:val="0000ff"/>
          </w:rPr>
          <w:t xml:space="preserve">пунктом 2.3 раздела 2</w:t>
        </w:r>
      </w:hyperlink>
      <w:r>
        <w:rPr>
          <w:sz w:val="20"/>
        </w:rPr>
        <w:t xml:space="preserve"> Порядка;</w:t>
      </w:r>
    </w:p>
    <w:p>
      <w:pPr>
        <w:pStyle w:val="0"/>
        <w:spacing w:before="200" w:line-rule="auto"/>
        <w:ind w:firstLine="540"/>
        <w:jc w:val="both"/>
      </w:pPr>
      <w:r>
        <w:rPr>
          <w:sz w:val="20"/>
        </w:rPr>
        <w:t xml:space="preserve">- наличие Соглашения, заключенного между главным распорядителем и получателем субсидий.</w:t>
      </w:r>
    </w:p>
    <w:p>
      <w:pPr>
        <w:pStyle w:val="0"/>
        <w:spacing w:before="200" w:line-rule="auto"/>
        <w:ind w:firstLine="540"/>
        <w:jc w:val="both"/>
      </w:pPr>
      <w:r>
        <w:rPr>
          <w:sz w:val="20"/>
        </w:rPr>
        <w:t xml:space="preserve">2.2. В Соглашении предусматриваются следующие положения:</w:t>
      </w:r>
    </w:p>
    <w:p>
      <w:pPr>
        <w:pStyle w:val="0"/>
        <w:spacing w:before="200" w:line-rule="auto"/>
        <w:ind w:firstLine="540"/>
        <w:jc w:val="both"/>
      </w:pPr>
      <w:r>
        <w:rPr>
          <w:sz w:val="20"/>
        </w:rPr>
        <w:t xml:space="preserve">2.2.1. Размер субсидий (экономически обоснованных затрат) в пределах средств, предусмотренных на указанные цели в областном бюджете на соответствующий финансовый год.</w:t>
      </w:r>
    </w:p>
    <w:p>
      <w:pPr>
        <w:pStyle w:val="0"/>
        <w:spacing w:before="200" w:line-rule="auto"/>
        <w:ind w:firstLine="540"/>
        <w:jc w:val="both"/>
      </w:pPr>
      <w:r>
        <w:rPr>
          <w:sz w:val="20"/>
        </w:rPr>
        <w:t xml:space="preserve">2.2.2. Обязательство получателя субсидий по возврату предоставленных средств в областной бюджет в случае установления по итогам проверок, проведенных главным распорядителем или уполномоченным органом финансового контроля, факта нарушений условий предоставления субсидий и обязательств, определенных Порядком и заключенным Соглашением.</w:t>
      </w:r>
    </w:p>
    <w:p>
      <w:pPr>
        <w:pStyle w:val="0"/>
        <w:spacing w:before="200" w:line-rule="auto"/>
        <w:ind w:firstLine="540"/>
        <w:jc w:val="both"/>
      </w:pPr>
      <w:r>
        <w:rPr>
          <w:sz w:val="20"/>
        </w:rPr>
        <w:t xml:space="preserve">2.2.3. Условия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w:t>
      </w:r>
    </w:p>
    <w:bookmarkStart w:id="71" w:name="P71"/>
    <w:bookmarkEnd w:id="71"/>
    <w:p>
      <w:pPr>
        <w:pStyle w:val="0"/>
        <w:spacing w:before="200" w:line-rule="auto"/>
        <w:ind w:firstLine="540"/>
        <w:jc w:val="both"/>
      </w:pPr>
      <w:r>
        <w:rPr>
          <w:sz w:val="20"/>
        </w:rPr>
        <w:t xml:space="preserve">2.3. Субсидии предоставляются получателю субсидий при условии, если на первое число месяца, в котором планируется заключение Соглашения, получатель субсидий соответствует следующим требованиям:</w:t>
      </w:r>
    </w:p>
    <w:p>
      <w:pPr>
        <w:pStyle w:val="0"/>
        <w:spacing w:before="200" w:line-rule="auto"/>
        <w:ind w:firstLine="540"/>
        <w:jc w:val="both"/>
      </w:pPr>
      <w:r>
        <w:rPr>
          <w:sz w:val="20"/>
        </w:rPr>
        <w:t xml:space="preserve">2.3.1. Получатель субсидий не должен находиться в процессе реорганизации (за исключением реорганизации в форме присоединения к получателю субсидий другого юридического лица), ликвидации, в отношении него не введена процедура банкротства, деятельность получателя субсидий не должна быть приостановлена в порядке, предусмотренном законодательством Российской Федерации.</w:t>
      </w:r>
    </w:p>
    <w:p>
      <w:pPr>
        <w:pStyle w:val="0"/>
        <w:spacing w:before="200" w:line-rule="auto"/>
        <w:ind w:firstLine="540"/>
        <w:jc w:val="both"/>
      </w:pPr>
      <w:r>
        <w:rPr>
          <w:sz w:val="20"/>
        </w:rPr>
        <w:t xml:space="preserve">2.3.2. Получатель субсидий не получает средства из областного бюджета на основании иных нормативных правовых актов на цели, указанные в </w:t>
      </w:r>
      <w:hyperlink w:history="0" w:anchor="P54" w:tooltip="1.4. Целью предоставления субсидий является частичное возмещение затрат ГУП &quot;Белоблводоканал&quot;, связанных с производственной деятельностью, указанных в пункте 1.1 раздела 1 Порядка.">
        <w:r>
          <w:rPr>
            <w:sz w:val="20"/>
            <w:color w:val="0000ff"/>
          </w:rPr>
          <w:t xml:space="preserve">пункте 1.4 раздела 1</w:t>
        </w:r>
      </w:hyperlink>
      <w:r>
        <w:rPr>
          <w:sz w:val="20"/>
        </w:rPr>
        <w:t xml:space="preserve"> Порядка.</w:t>
      </w:r>
    </w:p>
    <w:p>
      <w:pPr>
        <w:pStyle w:val="0"/>
        <w:spacing w:before="200" w:line-rule="auto"/>
        <w:ind w:firstLine="540"/>
        <w:jc w:val="both"/>
      </w:pPr>
      <w:r>
        <w:rPr>
          <w:sz w:val="20"/>
        </w:rPr>
        <w:t xml:space="preserve">2.3.3. У получателя субсидий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pPr>
        <w:pStyle w:val="0"/>
        <w:spacing w:before="200" w:line-rule="auto"/>
        <w:ind w:firstLine="540"/>
        <w:jc w:val="both"/>
      </w:pPr>
      <w:r>
        <w:rPr>
          <w:sz w:val="20"/>
        </w:rPr>
        <w:t xml:space="preserve">2.3.4. Получатель субсидий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pPr>
        <w:pStyle w:val="0"/>
        <w:spacing w:before="200" w:line-rule="auto"/>
        <w:ind w:firstLine="540"/>
        <w:jc w:val="both"/>
      </w:pPr>
      <w:r>
        <w:rPr>
          <w:sz w:val="20"/>
        </w:rPr>
        <w:t xml:space="preserve">2.3.5. У получателя субсидий отсутствует просроченная задолженность по заработной плате перед работниками.</w:t>
      </w:r>
    </w:p>
    <w:p>
      <w:pPr>
        <w:pStyle w:val="0"/>
        <w:spacing w:before="200" w:line-rule="auto"/>
        <w:ind w:firstLine="540"/>
        <w:jc w:val="both"/>
      </w:pPr>
      <w:r>
        <w:rPr>
          <w:sz w:val="20"/>
        </w:rPr>
        <w:t xml:space="preserve">2.3.6. Среднемесячная заработная плата работников получателя субсидий (в расчете на одного работника) не ниже прожиточного минимума, установленного для трудоспособного населения Белгородской области.</w:t>
      </w:r>
    </w:p>
    <w:p>
      <w:pPr>
        <w:pStyle w:val="0"/>
        <w:spacing w:before="200" w:line-rule="auto"/>
        <w:ind w:firstLine="540"/>
        <w:jc w:val="both"/>
      </w:pPr>
      <w:r>
        <w:rPr>
          <w:sz w:val="20"/>
        </w:rPr>
        <w:t xml:space="preserve">2.3.7.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субсидий.</w:t>
      </w:r>
    </w:p>
    <w:p>
      <w:pPr>
        <w:pStyle w:val="0"/>
        <w:spacing w:before="200" w:line-rule="auto"/>
        <w:ind w:firstLine="540"/>
        <w:jc w:val="both"/>
      </w:pPr>
      <w:r>
        <w:rPr>
          <w:sz w:val="20"/>
        </w:rPr>
        <w:t xml:space="preserve">2.3.8. Субсидии предоставляются при обязательном согласии получателя субсидий на осуществление главным распорядителем и уполномоченными органами финансового контроля проверок соблюдения им условий и порядка предоставления субсидий в соответствии со </w:t>
      </w:r>
      <w:hyperlink w:history="0" r:id="rId15" w:tooltip="&quot;Бюджетный кодекс Российской Федерации&quot; от 31.07.1998 N 145-ФЗ (ред. от 14.07.2022) ------------ Недействующая редакция {КонсультантПлюс}">
        <w:r>
          <w:rPr>
            <w:sz w:val="20"/>
            <w:color w:val="0000ff"/>
          </w:rPr>
          <w:t xml:space="preserve">статьями 268.1</w:t>
        </w:r>
      </w:hyperlink>
      <w:r>
        <w:rPr>
          <w:sz w:val="20"/>
        </w:rPr>
        <w:t xml:space="preserve">, </w:t>
      </w:r>
      <w:hyperlink w:history="0" r:id="rId16" w:tooltip="&quot;Бюджетный кодекс Российской Федерации&quot; от 31.07.1998 N 145-ФЗ (ред. от 14.07.2022) ------------ Недействующая редакция {КонсультантПлюс}">
        <w:r>
          <w:rPr>
            <w:sz w:val="20"/>
            <w:color w:val="0000ff"/>
          </w:rPr>
          <w:t xml:space="preserve">269.2</w:t>
        </w:r>
      </w:hyperlink>
      <w:r>
        <w:rPr>
          <w:sz w:val="20"/>
        </w:rPr>
        <w:t xml:space="preserve"> Бюджетного кодекса Российской Федерации.</w:t>
      </w:r>
    </w:p>
    <w:p>
      <w:pPr>
        <w:pStyle w:val="0"/>
        <w:spacing w:before="200" w:line-rule="auto"/>
        <w:ind w:firstLine="540"/>
        <w:jc w:val="both"/>
      </w:pPr>
      <w:r>
        <w:rPr>
          <w:sz w:val="20"/>
        </w:rPr>
        <w:t xml:space="preserve">2.3.9. Получатель субсидий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pPr>
        <w:pStyle w:val="0"/>
        <w:spacing w:before="200" w:line-rule="auto"/>
        <w:ind w:firstLine="540"/>
        <w:jc w:val="both"/>
      </w:pPr>
      <w:r>
        <w:rPr>
          <w:sz w:val="20"/>
        </w:rPr>
        <w:t xml:space="preserve">2.3.10. Получатель субсидий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w:t>
      </w:r>
    </w:p>
    <w:p>
      <w:pPr>
        <w:pStyle w:val="0"/>
        <w:spacing w:before="200" w:line-rule="auto"/>
        <w:ind w:firstLine="540"/>
        <w:jc w:val="both"/>
      </w:pPr>
      <w:r>
        <w:rPr>
          <w:sz w:val="20"/>
        </w:rPr>
        <w:t xml:space="preserve">2.4. Получатель субсидий в целях заключения Соглашения представляет главному распорядителю надлежащим образом заверенные копии или подлинники следующих документов:</w:t>
      </w:r>
    </w:p>
    <w:p>
      <w:pPr>
        <w:pStyle w:val="0"/>
        <w:spacing w:before="200" w:line-rule="auto"/>
        <w:ind w:firstLine="540"/>
        <w:jc w:val="both"/>
      </w:pPr>
      <w:r>
        <w:rPr>
          <w:sz w:val="20"/>
        </w:rPr>
        <w:t xml:space="preserve">2.4.1. Копии документов, удостоверяющих личность и подтверждающих полномочия представителя (доверенного лица) получателя субсидий.</w:t>
      </w:r>
    </w:p>
    <w:p>
      <w:pPr>
        <w:pStyle w:val="0"/>
        <w:spacing w:before="200" w:line-rule="auto"/>
        <w:ind w:firstLine="540"/>
        <w:jc w:val="both"/>
      </w:pPr>
      <w:r>
        <w:rPr>
          <w:sz w:val="20"/>
        </w:rPr>
        <w:t xml:space="preserve">2.4.2. Копию устава получателя субсидий, а также всех изменений и дополнений к нему, заверенную подписью руководителя получателя субсидий и печатью.</w:t>
      </w:r>
    </w:p>
    <w:p>
      <w:pPr>
        <w:pStyle w:val="0"/>
        <w:spacing w:before="200" w:line-rule="auto"/>
        <w:ind w:firstLine="540"/>
        <w:jc w:val="both"/>
      </w:pPr>
      <w:r>
        <w:rPr>
          <w:sz w:val="20"/>
        </w:rPr>
        <w:t xml:space="preserve">2.4.3. Выписку из Единого государственного реестра юридических лиц, полученную не ранее чем за один месяц до дня направления заявки.</w:t>
      </w:r>
    </w:p>
    <w:p>
      <w:pPr>
        <w:pStyle w:val="0"/>
        <w:spacing w:before="200" w:line-rule="auto"/>
        <w:ind w:firstLine="540"/>
        <w:jc w:val="both"/>
      </w:pPr>
      <w:r>
        <w:rPr>
          <w:sz w:val="20"/>
        </w:rPr>
        <w:t xml:space="preserve">2.4.4. Справку территориального органа Федеральной налоговой службы, подписанную ее руководителем (иным уполномоченным лицом),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по состоянию на первое число месяца, в котором планируется заключение Соглашения, и об отсутствии у получателя субсидий задолженности по уплате налогов, сборов, страховых взносов, пеней, штрафов, процентов в бюджеты бюджетной системы Российской Федерации (за исключением задолженности, по которой оформлены в установленном порядке соглашения о реструктуризации, соблюдаются графики погашения задолженности и своевременно осуществляются текущие платежи).</w:t>
      </w:r>
    </w:p>
    <w:p>
      <w:pPr>
        <w:pStyle w:val="0"/>
        <w:spacing w:before="200" w:line-rule="auto"/>
        <w:ind w:firstLine="540"/>
        <w:jc w:val="both"/>
      </w:pPr>
      <w:r>
        <w:rPr>
          <w:sz w:val="20"/>
        </w:rPr>
        <w:t xml:space="preserve">2.4.5. Справку, подтверждающую отсутствие у получателя субсидий на первое число месяца, в котором планируется заключение Соглашения, просроченной задолженности по заработной плате перед работниками, подписанную руководителем и главным бухгалтером получателя субсидий.</w:t>
      </w:r>
    </w:p>
    <w:p>
      <w:pPr>
        <w:pStyle w:val="0"/>
        <w:spacing w:before="200" w:line-rule="auto"/>
        <w:ind w:firstLine="540"/>
        <w:jc w:val="both"/>
      </w:pPr>
      <w:r>
        <w:rPr>
          <w:sz w:val="20"/>
        </w:rPr>
        <w:t xml:space="preserve">2.4.6. Справку о среднемесячной заработной плате работников (в расчете на одного работника) на первое число месяца, в котором планируется заключение Соглашения, подписанную руководителем и главным бухгалтером получателя субсидий.</w:t>
      </w:r>
    </w:p>
    <w:p>
      <w:pPr>
        <w:pStyle w:val="0"/>
        <w:spacing w:before="200" w:line-rule="auto"/>
        <w:ind w:firstLine="540"/>
        <w:jc w:val="both"/>
      </w:pPr>
      <w:r>
        <w:rPr>
          <w:sz w:val="20"/>
        </w:rPr>
        <w:t xml:space="preserve">2.4.7. Справку об отсутствии сведений в реестре дисквалифицированных лиц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субсидий, являющегося юридическим лицом, по форме, установленной Федеральной налоговой службой, на первое число месяца, в котором планируется заключение Соглашения.</w:t>
      </w:r>
    </w:p>
    <w:p>
      <w:pPr>
        <w:pStyle w:val="0"/>
        <w:spacing w:before="200" w:line-rule="auto"/>
        <w:ind w:firstLine="540"/>
        <w:jc w:val="both"/>
      </w:pPr>
      <w:r>
        <w:rPr>
          <w:sz w:val="20"/>
        </w:rPr>
        <w:t xml:space="preserve">2.5. Представляемые документы должны быть пронумерованы, иметь подписи ответственных лиц и быть заверены печатями.</w:t>
      </w:r>
    </w:p>
    <w:p>
      <w:pPr>
        <w:pStyle w:val="0"/>
        <w:spacing w:before="200" w:line-rule="auto"/>
        <w:ind w:firstLine="540"/>
        <w:jc w:val="both"/>
      </w:pPr>
      <w:r>
        <w:rPr>
          <w:sz w:val="20"/>
        </w:rPr>
        <w:t xml:space="preserve">2.6. </w:t>
      </w:r>
      <w:hyperlink w:history="0" w:anchor="P156" w:tooltip="ЗАЯВКА">
        <w:r>
          <w:rPr>
            <w:sz w:val="20"/>
            <w:color w:val="0000ff"/>
          </w:rPr>
          <w:t xml:space="preserve">Заявка</w:t>
        </w:r>
      </w:hyperlink>
      <w:r>
        <w:rPr>
          <w:sz w:val="20"/>
        </w:rPr>
        <w:t xml:space="preserve"> на получение субсидий, подписанная руководителем и главным бухгалтером получателя субсидий и скрепленная печатью получателя субсидий, представляется главному распорядителю (приложение N 1 к Порядку) с приложением </w:t>
      </w:r>
      <w:hyperlink w:history="0" w:anchor="P193" w:tooltip="Расчет">
        <w:r>
          <w:rPr>
            <w:sz w:val="20"/>
            <w:color w:val="0000ff"/>
          </w:rPr>
          <w:t xml:space="preserve">расчета</w:t>
        </w:r>
      </w:hyperlink>
      <w:r>
        <w:rPr>
          <w:sz w:val="20"/>
        </w:rPr>
        <w:t xml:space="preserve"> расходов на возмещение затрат, связанных с производственной деятельностью, для согласования по форме согласно приложению N 2 к Порядку.</w:t>
      </w:r>
    </w:p>
    <w:p>
      <w:pPr>
        <w:pStyle w:val="0"/>
        <w:spacing w:before="200" w:line-rule="auto"/>
        <w:ind w:firstLine="540"/>
        <w:jc w:val="both"/>
      </w:pPr>
      <w:r>
        <w:rPr>
          <w:sz w:val="20"/>
        </w:rPr>
        <w:t xml:space="preserve">2.7. Ответственность за достоверность сведений, предоставляемых для получения субсидий, несет получатель субсидий.</w:t>
      </w:r>
    </w:p>
    <w:p>
      <w:pPr>
        <w:pStyle w:val="0"/>
        <w:spacing w:before="200" w:line-rule="auto"/>
        <w:ind w:firstLine="540"/>
        <w:jc w:val="both"/>
      </w:pPr>
      <w:r>
        <w:rPr>
          <w:sz w:val="20"/>
        </w:rPr>
        <w:t xml:space="preserve">2.8. Главный распорядитель в течение 3 (трех) рабочих дней со дня представления заявки и документов от получателя субсидий рассматривает и утверждает заявку в электронной форме для перечисления средств и направляет ее в министерство финансов и бюджетной политики Белгородской области на финансирование мероприятия Подпрограммы за счет средств областного бюджета на перечисление субсидий.</w:t>
      </w:r>
    </w:p>
    <w:p>
      <w:pPr>
        <w:pStyle w:val="0"/>
        <w:spacing w:before="200" w:line-rule="auto"/>
        <w:ind w:firstLine="540"/>
        <w:jc w:val="both"/>
      </w:pPr>
      <w:r>
        <w:rPr>
          <w:sz w:val="20"/>
        </w:rPr>
        <w:t xml:space="preserve">2.9. Министерство финансов и бюджетной политики Белгородской области в срок не более 5 (пяти) рабочих дней с даты получения от главного распорядителя заявки в электронном виде с прикрепленными подтверждающими документами осуществляет кассовые выплаты с лицевого счета главного распорядителя средств, открытого на едином счете областного бюджета, на расчетный счет ГУП "Белоблводоканал", открытый в кредитном учреждении.</w:t>
      </w:r>
    </w:p>
    <w:p>
      <w:pPr>
        <w:pStyle w:val="0"/>
        <w:spacing w:before="200" w:line-rule="auto"/>
        <w:ind w:firstLine="540"/>
        <w:jc w:val="both"/>
      </w:pPr>
      <w:r>
        <w:rPr>
          <w:sz w:val="20"/>
        </w:rPr>
        <w:t xml:space="preserve">2.10. Основанием для отказа в предоставлении субсидий являются:</w:t>
      </w:r>
    </w:p>
    <w:p>
      <w:pPr>
        <w:pStyle w:val="0"/>
        <w:spacing w:before="200" w:line-rule="auto"/>
        <w:ind w:firstLine="540"/>
        <w:jc w:val="both"/>
      </w:pPr>
      <w:r>
        <w:rPr>
          <w:sz w:val="20"/>
        </w:rPr>
        <w:t xml:space="preserve">- несоответствие представленных получателем субсидий документов требованиям, определенным в соответствии с </w:t>
      </w:r>
      <w:hyperlink w:history="0" w:anchor="P71" w:tooltip="2.3. Субсидии предоставляются получателю субсидий при условии, если на первое число месяца, в котором планируется заключение Соглашения, получатель субсидий соответствует следующим требованиям:">
        <w:r>
          <w:rPr>
            <w:sz w:val="20"/>
            <w:color w:val="0000ff"/>
          </w:rPr>
          <w:t xml:space="preserve">пунктом 2.3 раздела 2</w:t>
        </w:r>
      </w:hyperlink>
      <w:r>
        <w:rPr>
          <w:sz w:val="20"/>
        </w:rPr>
        <w:t xml:space="preserve"> Порядка, или непредставление (представление не в полном объеме) указанных документов;</w:t>
      </w:r>
    </w:p>
    <w:p>
      <w:pPr>
        <w:pStyle w:val="0"/>
        <w:spacing w:before="200" w:line-rule="auto"/>
        <w:ind w:firstLine="540"/>
        <w:jc w:val="both"/>
      </w:pPr>
      <w:r>
        <w:rPr>
          <w:sz w:val="20"/>
        </w:rPr>
        <w:t xml:space="preserve">- установление факта недостоверности представленной получателем субсидий информации.</w:t>
      </w:r>
    </w:p>
    <w:p>
      <w:pPr>
        <w:pStyle w:val="0"/>
        <w:spacing w:before="200" w:line-rule="auto"/>
        <w:ind w:firstLine="540"/>
        <w:jc w:val="both"/>
      </w:pPr>
      <w:r>
        <w:rPr>
          <w:sz w:val="20"/>
        </w:rPr>
        <w:t xml:space="preserve">Получатель субсидий после устранения причин, послуживших основанием для отказа в предоставлении субсидий, вправе вновь обратиться за их предоставлением в соответствии с Порядком.</w:t>
      </w:r>
    </w:p>
    <w:bookmarkStart w:id="99" w:name="P99"/>
    <w:bookmarkEnd w:id="99"/>
    <w:p>
      <w:pPr>
        <w:pStyle w:val="0"/>
        <w:spacing w:before="200" w:line-rule="auto"/>
        <w:ind w:firstLine="540"/>
        <w:jc w:val="both"/>
      </w:pPr>
      <w:r>
        <w:rPr>
          <w:sz w:val="20"/>
        </w:rPr>
        <w:t xml:space="preserve">2.11. Размер субсидий определяется по следующей формуле:</w:t>
      </w:r>
    </w:p>
    <w:p>
      <w:pPr>
        <w:pStyle w:val="0"/>
        <w:ind w:firstLine="540"/>
        <w:jc w:val="both"/>
      </w:pPr>
      <w:r>
        <w:rPr>
          <w:sz w:val="20"/>
        </w:rPr>
      </w:r>
    </w:p>
    <w:p>
      <w:pPr>
        <w:pStyle w:val="0"/>
        <w:jc w:val="center"/>
      </w:pPr>
      <w:r>
        <w:rPr>
          <w:sz w:val="20"/>
        </w:rPr>
        <w:t xml:space="preserve">Si = (Зфакт - Зуст),</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Si - размер субсидий по i-му виду экономически обоснованных затрат получателя субсидии за отчетный период;</w:t>
      </w:r>
    </w:p>
    <w:p>
      <w:pPr>
        <w:pStyle w:val="0"/>
        <w:spacing w:before="200" w:line-rule="auto"/>
        <w:ind w:firstLine="540"/>
        <w:jc w:val="both"/>
      </w:pPr>
      <w:r>
        <w:rPr>
          <w:sz w:val="20"/>
        </w:rPr>
        <w:t xml:space="preserve">Зфакт - фактически понесенные затраты, связанные с производственной деятельностью;</w:t>
      </w:r>
    </w:p>
    <w:p>
      <w:pPr>
        <w:pStyle w:val="0"/>
        <w:spacing w:before="200" w:line-rule="auto"/>
        <w:ind w:firstLine="540"/>
        <w:jc w:val="both"/>
      </w:pPr>
      <w:r>
        <w:rPr>
          <w:sz w:val="20"/>
        </w:rPr>
        <w:t xml:space="preserve">Зуст - затраты, учтенные управлением по государственному регулированию цен и тарифов в Белгородской области при формировании тарифов в сфере водоснабжения и водоотведения (</w:t>
      </w:r>
      <w:hyperlink w:history="0" w:anchor="P290" w:tooltip="Расходы,">
        <w:r>
          <w:rPr>
            <w:sz w:val="20"/>
            <w:color w:val="0000ff"/>
          </w:rPr>
          <w:t xml:space="preserve">приложение N 3</w:t>
        </w:r>
      </w:hyperlink>
      <w:r>
        <w:rPr>
          <w:sz w:val="20"/>
        </w:rPr>
        <w:t xml:space="preserve"> к Порядку).</w:t>
      </w:r>
    </w:p>
    <w:p>
      <w:pPr>
        <w:pStyle w:val="0"/>
        <w:spacing w:before="200" w:line-rule="auto"/>
        <w:ind w:firstLine="540"/>
        <w:jc w:val="both"/>
      </w:pPr>
      <w:r>
        <w:rPr>
          <w:sz w:val="20"/>
        </w:rPr>
        <w:t xml:space="preserve">Общий объем субсидий определяется по следующей формуле:</w:t>
      </w:r>
    </w:p>
    <w:p>
      <w:pPr>
        <w:pStyle w:val="0"/>
        <w:ind w:firstLine="540"/>
        <w:jc w:val="both"/>
      </w:pPr>
      <w:r>
        <w:rPr>
          <w:sz w:val="20"/>
        </w:rPr>
      </w:r>
    </w:p>
    <w:p>
      <w:pPr>
        <w:pStyle w:val="0"/>
        <w:jc w:val="center"/>
      </w:pPr>
      <w:r>
        <w:rPr>
          <w:position w:val="-10"/>
        </w:rPr>
        <w:drawing>
          <wp:inline distT="0" distB="0" distL="0" distR="0">
            <wp:extent cx="838200" cy="2571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838200" cy="25717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Si - размер субсидий i-го вида затрат получателя субсидии;</w:t>
      </w:r>
    </w:p>
    <w:p>
      <w:pPr>
        <w:pStyle w:val="0"/>
        <w:spacing w:before="200" w:line-rule="auto"/>
        <w:ind w:firstLine="540"/>
        <w:jc w:val="both"/>
      </w:pPr>
      <w:r>
        <w:rPr>
          <w:sz w:val="20"/>
        </w:rPr>
        <w:t xml:space="preserve">Sобщ. - общая сумма субсидий, предусмотренная в областном бюджете на возмещение затрат, связанных с производственной деятельностью.</w:t>
      </w:r>
    </w:p>
    <w:p>
      <w:pPr>
        <w:pStyle w:val="0"/>
        <w:spacing w:before="200" w:line-rule="auto"/>
        <w:ind w:firstLine="540"/>
        <w:jc w:val="both"/>
      </w:pPr>
      <w:r>
        <w:rPr>
          <w:sz w:val="20"/>
        </w:rPr>
        <w:t xml:space="preserve">Полученные средства субсидий ГУП "Белоблводоканал" может направлять на оплату текущих эксплуатационных затрат.</w:t>
      </w:r>
    </w:p>
    <w:p>
      <w:pPr>
        <w:pStyle w:val="0"/>
        <w:ind w:firstLine="540"/>
        <w:jc w:val="both"/>
      </w:pPr>
      <w:r>
        <w:rPr>
          <w:sz w:val="20"/>
        </w:rPr>
      </w:r>
    </w:p>
    <w:p>
      <w:pPr>
        <w:pStyle w:val="2"/>
        <w:outlineLvl w:val="1"/>
        <w:jc w:val="center"/>
      </w:pPr>
      <w:r>
        <w:rPr>
          <w:sz w:val="20"/>
        </w:rPr>
        <w:t xml:space="preserve">4. Требования к отчетности</w:t>
      </w:r>
    </w:p>
    <w:p>
      <w:pPr>
        <w:pStyle w:val="0"/>
        <w:jc w:val="center"/>
      </w:pPr>
      <w:r>
        <w:rPr>
          <w:sz w:val="20"/>
        </w:rPr>
      </w:r>
    </w:p>
    <w:p>
      <w:pPr>
        <w:pStyle w:val="0"/>
        <w:ind w:firstLine="540"/>
        <w:jc w:val="both"/>
      </w:pPr>
      <w:r>
        <w:rPr>
          <w:sz w:val="20"/>
        </w:rPr>
        <w:t xml:space="preserve">4.1. В целях проверки соблюдения условий и порядка предоставления субсидий получатель субсидий в течение 30 (тридцати) рабочих дней после использования субсидий, но не позднее 31 декабря года, в котором получены субсидии, представляет главному распорядителю </w:t>
      </w:r>
      <w:hyperlink w:history="0" w:anchor="P339" w:tooltip="Отчет">
        <w:r>
          <w:rPr>
            <w:sz w:val="20"/>
            <w:color w:val="0000ff"/>
          </w:rPr>
          <w:t xml:space="preserve">отчет</w:t>
        </w:r>
      </w:hyperlink>
      <w:r>
        <w:rPr>
          <w:sz w:val="20"/>
        </w:rPr>
        <w:t xml:space="preserve"> о целевом расходовании субсидий по форме согласно приложению N 4 к Порядку.</w:t>
      </w:r>
    </w:p>
    <w:p>
      <w:pPr>
        <w:pStyle w:val="0"/>
        <w:spacing w:before="200" w:line-rule="auto"/>
        <w:ind w:firstLine="540"/>
        <w:jc w:val="both"/>
      </w:pPr>
      <w:r>
        <w:rPr>
          <w:sz w:val="20"/>
        </w:rPr>
        <w:t xml:space="preserve">4.2. К отчету получатель субсидий прилагает следующие документы, подтверждающие фактически произведенные затраты:</w:t>
      </w:r>
    </w:p>
    <w:p>
      <w:pPr>
        <w:pStyle w:val="0"/>
        <w:spacing w:before="200" w:line-rule="auto"/>
        <w:ind w:firstLine="540"/>
        <w:jc w:val="both"/>
      </w:pPr>
      <w:r>
        <w:rPr>
          <w:sz w:val="20"/>
        </w:rPr>
        <w:t xml:space="preserve">- договоры на выполнение работ (на оказание услуг, на поставку товарно-материальных ценностей, аренды имущества, займа);</w:t>
      </w:r>
    </w:p>
    <w:p>
      <w:pPr>
        <w:pStyle w:val="0"/>
        <w:jc w:val="both"/>
      </w:pPr>
      <w:r>
        <w:rPr>
          <w:sz w:val="20"/>
        </w:rPr>
        <w:t xml:space="preserve">(в ред. </w:t>
      </w:r>
      <w:hyperlink w:history="0" r:id="rId18" w:tooltip="Постановление Правительства Белгородской обл. от 26.12.2022 N 791-пп &quot;О внесении изменений в постановление Правительства Белгородской области от 29 августа 2022 года N 510-пп&quot; {КонсультантПлюс}">
        <w:r>
          <w:rPr>
            <w:sz w:val="20"/>
            <w:color w:val="0000ff"/>
          </w:rPr>
          <w:t xml:space="preserve">постановления</w:t>
        </w:r>
      </w:hyperlink>
      <w:r>
        <w:rPr>
          <w:sz w:val="20"/>
        </w:rPr>
        <w:t xml:space="preserve"> Правительства Белгородской области от 26.12.2022 N 791-пп)</w:t>
      </w:r>
    </w:p>
    <w:p>
      <w:pPr>
        <w:pStyle w:val="0"/>
        <w:spacing w:before="200" w:line-rule="auto"/>
        <w:ind w:firstLine="540"/>
        <w:jc w:val="both"/>
      </w:pPr>
      <w:r>
        <w:rPr>
          <w:sz w:val="20"/>
        </w:rPr>
        <w:t xml:space="preserve">- товарная накладная и (или) акт выполненных работ (оказанных услуг, на поставку товара) и (или) универсальные передаточные документы;</w:t>
      </w:r>
    </w:p>
    <w:p>
      <w:pPr>
        <w:pStyle w:val="0"/>
        <w:spacing w:before="200" w:line-rule="auto"/>
        <w:ind w:firstLine="540"/>
        <w:jc w:val="both"/>
      </w:pPr>
      <w:r>
        <w:rPr>
          <w:sz w:val="20"/>
        </w:rPr>
        <w:t xml:space="preserve">- счет на оплату (при наличии);</w:t>
      </w:r>
    </w:p>
    <w:p>
      <w:pPr>
        <w:pStyle w:val="0"/>
        <w:spacing w:before="200" w:line-rule="auto"/>
        <w:ind w:firstLine="540"/>
        <w:jc w:val="both"/>
      </w:pPr>
      <w:r>
        <w:rPr>
          <w:sz w:val="20"/>
        </w:rPr>
        <w:t xml:space="preserve">- счет-фактура (для плательщиков НДС);</w:t>
      </w:r>
    </w:p>
    <w:p>
      <w:pPr>
        <w:pStyle w:val="0"/>
        <w:spacing w:before="200" w:line-rule="auto"/>
        <w:ind w:firstLine="540"/>
        <w:jc w:val="both"/>
      </w:pPr>
      <w:r>
        <w:rPr>
          <w:sz w:val="20"/>
        </w:rPr>
        <w:t xml:space="preserve">- налоговые декларации;</w:t>
      </w:r>
    </w:p>
    <w:p>
      <w:pPr>
        <w:pStyle w:val="0"/>
        <w:spacing w:before="200" w:line-rule="auto"/>
        <w:ind w:firstLine="540"/>
        <w:jc w:val="both"/>
      </w:pPr>
      <w:r>
        <w:rPr>
          <w:sz w:val="20"/>
        </w:rPr>
        <w:t xml:space="preserve">- платежный(е) документ(ы) с отметкой банка, подтверждающий(е) факт оплаты.</w:t>
      </w:r>
    </w:p>
    <w:p>
      <w:pPr>
        <w:pStyle w:val="0"/>
        <w:jc w:val="both"/>
      </w:pPr>
      <w:r>
        <w:rPr>
          <w:sz w:val="20"/>
        </w:rPr>
      </w:r>
    </w:p>
    <w:p>
      <w:pPr>
        <w:pStyle w:val="2"/>
        <w:outlineLvl w:val="1"/>
        <w:jc w:val="center"/>
      </w:pPr>
      <w:r>
        <w:rPr>
          <w:sz w:val="20"/>
        </w:rPr>
        <w:t xml:space="preserve">5. Требования к осуществлению контроля за соблюдением</w:t>
      </w:r>
    </w:p>
    <w:p>
      <w:pPr>
        <w:pStyle w:val="2"/>
        <w:jc w:val="center"/>
      </w:pPr>
      <w:r>
        <w:rPr>
          <w:sz w:val="20"/>
        </w:rPr>
        <w:t xml:space="preserve">условий и порядка предоставления субсидий и</w:t>
      </w:r>
    </w:p>
    <w:p>
      <w:pPr>
        <w:pStyle w:val="2"/>
        <w:jc w:val="center"/>
      </w:pPr>
      <w:r>
        <w:rPr>
          <w:sz w:val="20"/>
        </w:rPr>
        <w:t xml:space="preserve">ответственности за их нарушения</w:t>
      </w:r>
    </w:p>
    <w:p>
      <w:pPr>
        <w:pStyle w:val="0"/>
        <w:jc w:val="both"/>
      </w:pPr>
      <w:r>
        <w:rPr>
          <w:sz w:val="20"/>
        </w:rPr>
      </w:r>
    </w:p>
    <w:p>
      <w:pPr>
        <w:pStyle w:val="0"/>
        <w:ind w:firstLine="540"/>
        <w:jc w:val="both"/>
      </w:pPr>
      <w:r>
        <w:rPr>
          <w:sz w:val="20"/>
        </w:rPr>
        <w:t xml:space="preserve">5.1. Главный распорядитель осуществляет проверку соблюдения получателем субсидий условий и порядка предоставления субсидий, в том числе в части достижения результатов предоставления субсидий. Органы государственного финансового контроля осуществляют проверку в соответствии со </w:t>
      </w:r>
      <w:hyperlink w:history="0" r:id="rId19" w:tooltip="&quot;Бюджетный кодекс Российской Федерации&quot; от 31.07.1998 N 145-ФЗ (ред. от 14.07.2022) ------------ Недействующая редакция {КонсультантПлюс}">
        <w:r>
          <w:rPr>
            <w:sz w:val="20"/>
            <w:color w:val="0000ff"/>
          </w:rPr>
          <w:t xml:space="preserve">статьями 268.1</w:t>
        </w:r>
      </w:hyperlink>
      <w:r>
        <w:rPr>
          <w:sz w:val="20"/>
        </w:rPr>
        <w:t xml:space="preserve"> и </w:t>
      </w:r>
      <w:hyperlink w:history="0" r:id="rId20" w:tooltip="&quot;Бюджетный кодекс Российской Федерации&quot; от 31.07.1998 N 145-ФЗ (ред. от 14.07.2022) ------------ Недействующая редакция {КонсультантПлюс}">
        <w:r>
          <w:rPr>
            <w:sz w:val="20"/>
            <w:color w:val="0000ff"/>
          </w:rPr>
          <w:t xml:space="preserve">269.2</w:t>
        </w:r>
      </w:hyperlink>
      <w:r>
        <w:rPr>
          <w:sz w:val="20"/>
        </w:rPr>
        <w:t xml:space="preserve"> Бюджетного кодекса Российской Федерации.</w:t>
      </w:r>
    </w:p>
    <w:p>
      <w:pPr>
        <w:pStyle w:val="0"/>
        <w:spacing w:before="200" w:line-rule="auto"/>
        <w:ind w:firstLine="540"/>
        <w:jc w:val="both"/>
      </w:pPr>
      <w:r>
        <w:rPr>
          <w:sz w:val="20"/>
        </w:rPr>
        <w:t xml:space="preserve">5.2. В случае установления фактов нарушения получателем субсидий условий предоставления субсидий, предусмотренных Порядком, выявленных при проверках, осуществляемых главным распорядителем и уполномоченными органами финансового контроля, субсидии подлежат возврату в областной бюджет.</w:t>
      </w:r>
    </w:p>
    <w:p>
      <w:pPr>
        <w:pStyle w:val="0"/>
        <w:spacing w:before="200" w:line-rule="auto"/>
        <w:ind w:firstLine="540"/>
        <w:jc w:val="both"/>
      </w:pPr>
      <w:r>
        <w:rPr>
          <w:sz w:val="20"/>
        </w:rPr>
        <w:t xml:space="preserve">5.3. Главный распорядитель в десятидневный срок со дня выявления нарушения(ий) направляет получателю субсидий письменное требование о возврате субсидий.</w:t>
      </w:r>
    </w:p>
    <w:p>
      <w:pPr>
        <w:pStyle w:val="0"/>
        <w:spacing w:before="200" w:line-rule="auto"/>
        <w:ind w:firstLine="540"/>
        <w:jc w:val="both"/>
      </w:pPr>
      <w:r>
        <w:rPr>
          <w:sz w:val="20"/>
        </w:rPr>
        <w:t xml:space="preserve">Получатель субсидий производит возврат субсидий в полном объеме в течение 5 (пяти) рабочих дней со дня получения требования о возврате субсидий.</w:t>
      </w:r>
    </w:p>
    <w:p>
      <w:pPr>
        <w:pStyle w:val="0"/>
        <w:spacing w:before="200" w:line-rule="auto"/>
        <w:ind w:firstLine="540"/>
        <w:jc w:val="both"/>
      </w:pPr>
      <w:r>
        <w:rPr>
          <w:sz w:val="20"/>
        </w:rPr>
        <w:t xml:space="preserve">5.4. Если субсидии не возвращены в установленный срок, они взыскиваются в доход областного бюджета в порядке, установленном действующим законодательством Российской Федерации.</w:t>
      </w:r>
    </w:p>
    <w:p>
      <w:pPr>
        <w:pStyle w:val="0"/>
        <w:spacing w:before="200" w:line-rule="auto"/>
        <w:ind w:firstLine="540"/>
        <w:jc w:val="both"/>
      </w:pPr>
      <w:r>
        <w:rPr>
          <w:sz w:val="20"/>
        </w:rPr>
        <w:t xml:space="preserve">5.5. За нарушение условий предоставления субсидий получатель субсидий несет ответственность в соответствии с действующим законодательством Российской Федерации.</w:t>
      </w:r>
    </w:p>
    <w:p>
      <w:pPr>
        <w:pStyle w:val="0"/>
        <w:spacing w:before="200" w:line-rule="auto"/>
        <w:ind w:firstLine="540"/>
        <w:jc w:val="both"/>
      </w:pPr>
      <w:r>
        <w:rPr>
          <w:sz w:val="20"/>
        </w:rPr>
        <w:t xml:space="preserve">5.6. Субсидии носят целевой характер и не могут быть использованы на другие цели.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Порядку предоставления субсидий</w:t>
      </w:r>
    </w:p>
    <w:p>
      <w:pPr>
        <w:pStyle w:val="0"/>
        <w:jc w:val="right"/>
      </w:pPr>
      <w:r>
        <w:rPr>
          <w:sz w:val="20"/>
        </w:rPr>
        <w:t xml:space="preserve">ГУП "Белоблводоканал" на возмещение затрат,</w:t>
      </w:r>
    </w:p>
    <w:p>
      <w:pPr>
        <w:pStyle w:val="0"/>
        <w:jc w:val="right"/>
      </w:pPr>
      <w:r>
        <w:rPr>
          <w:sz w:val="20"/>
        </w:rPr>
        <w:t xml:space="preserve">связанных с производственной деятельностью</w:t>
      </w:r>
    </w:p>
    <w:p>
      <w:pPr>
        <w:pStyle w:val="0"/>
        <w:jc w:val="both"/>
      </w:pPr>
      <w:r>
        <w:rPr>
          <w:sz w:val="20"/>
        </w:rPr>
      </w:r>
    </w:p>
    <w:p>
      <w:pPr>
        <w:pStyle w:val="0"/>
        <w:jc w:val="right"/>
      </w:pPr>
      <w:r>
        <w:rPr>
          <w:sz w:val="20"/>
        </w:rPr>
        <w:t xml:space="preserve">Форма</w:t>
      </w:r>
    </w:p>
    <w:p>
      <w:pPr>
        <w:pStyle w:val="0"/>
        <w:jc w:val="both"/>
      </w:pPr>
      <w:r>
        <w:rPr>
          <w:sz w:val="20"/>
        </w:rPr>
      </w:r>
    </w:p>
    <w:tbl>
      <w:tblPr>
        <w:tblInd w:w="0" w:type="dxa"/>
        <w:tblLayout w:type="fixed"/>
        <w:tblCellMar>
          <w:top w:w="102" w:type="dxa"/>
          <w:left w:w="62" w:type="dxa"/>
          <w:bottom w:w="102" w:type="dxa"/>
          <w:right w:w="62" w:type="dxa"/>
        </w:tblCellMar>
      </w:tblPr>
      <w:tblGrid>
        <w:gridCol w:w="4535"/>
        <w:gridCol w:w="4535"/>
      </w:tblGrid>
      <w:tr>
        <w:tc>
          <w:tcPr>
            <w:tcW w:w="4535" w:type="dxa"/>
            <w:tcBorders>
              <w:top w:val="nil"/>
              <w:left w:val="nil"/>
              <w:bottom w:val="nil"/>
              <w:right w:val="nil"/>
            </w:tcBorders>
          </w:tcPr>
          <w:p>
            <w:pPr>
              <w:pStyle w:val="0"/>
              <w:jc w:val="center"/>
            </w:pPr>
            <w:r>
              <w:rPr>
                <w:sz w:val="20"/>
              </w:rPr>
            </w:r>
          </w:p>
        </w:tc>
        <w:tc>
          <w:tcPr>
            <w:tcW w:w="4535" w:type="dxa"/>
            <w:tcBorders>
              <w:top w:val="nil"/>
              <w:left w:val="nil"/>
              <w:bottom w:val="nil"/>
              <w:right w:val="nil"/>
            </w:tcBorders>
          </w:tcPr>
          <w:p>
            <w:pPr>
              <w:pStyle w:val="0"/>
              <w:jc w:val="center"/>
            </w:pPr>
            <w:r>
              <w:rPr>
                <w:sz w:val="20"/>
              </w:rPr>
              <w:t xml:space="preserve">Утверждено:</w:t>
            </w:r>
          </w:p>
          <w:p>
            <w:pPr>
              <w:pStyle w:val="0"/>
              <w:jc w:val="center"/>
            </w:pPr>
            <w:r>
              <w:rPr>
                <w:sz w:val="20"/>
              </w:rPr>
              <w:t xml:space="preserve">Министерство жилищно-коммунального хозяйства Белгородской области</w:t>
            </w:r>
          </w:p>
          <w:p>
            <w:pPr>
              <w:pStyle w:val="0"/>
              <w:jc w:val="center"/>
            </w:pPr>
            <w:r>
              <w:rPr>
                <w:sz w:val="20"/>
              </w:rPr>
              <w:t xml:space="preserve">________________________________</w:t>
            </w:r>
          </w:p>
          <w:p>
            <w:pPr>
              <w:pStyle w:val="0"/>
              <w:jc w:val="center"/>
            </w:pPr>
            <w:r>
              <w:rPr>
                <w:sz w:val="20"/>
              </w:rPr>
              <w:t xml:space="preserve">"__" __________ 20__ г.</w:t>
            </w:r>
          </w:p>
        </w:tc>
      </w:tr>
      <w:tr>
        <w:tc>
          <w:tcPr>
            <w:gridSpan w:val="2"/>
            <w:tcW w:w="9070" w:type="dxa"/>
            <w:tcBorders>
              <w:top w:val="nil"/>
              <w:left w:val="nil"/>
              <w:bottom w:val="nil"/>
              <w:right w:val="nil"/>
            </w:tcBorders>
          </w:tcPr>
          <w:bookmarkStart w:id="156" w:name="P156"/>
          <w:bookmarkEnd w:id="156"/>
          <w:p>
            <w:pPr>
              <w:pStyle w:val="0"/>
              <w:jc w:val="center"/>
            </w:pPr>
            <w:r>
              <w:rPr>
                <w:sz w:val="20"/>
              </w:rPr>
              <w:t xml:space="preserve">ЗАЯВКА</w:t>
            </w:r>
          </w:p>
          <w:p>
            <w:pPr>
              <w:pStyle w:val="0"/>
              <w:jc w:val="center"/>
            </w:pPr>
            <w:r>
              <w:rPr>
                <w:sz w:val="20"/>
              </w:rPr>
              <w:t xml:space="preserve">от "__" ___________ 20__ года</w:t>
            </w:r>
          </w:p>
          <w:p>
            <w:pPr>
              <w:pStyle w:val="0"/>
              <w:jc w:val="center"/>
            </w:pPr>
            <w:r>
              <w:rPr>
                <w:sz w:val="20"/>
              </w:rPr>
              <w:t xml:space="preserve">на предоставление субсидий на возмещение затрат,</w:t>
            </w:r>
          </w:p>
          <w:p>
            <w:pPr>
              <w:pStyle w:val="0"/>
              <w:jc w:val="center"/>
            </w:pPr>
            <w:r>
              <w:rPr>
                <w:sz w:val="20"/>
              </w:rPr>
              <w:t xml:space="preserve">связанных с производственной деятельностью</w:t>
            </w: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4"/>
        <w:gridCol w:w="5826"/>
        <w:gridCol w:w="2665"/>
      </w:tblGrid>
      <w:tr>
        <w:tc>
          <w:tcPr>
            <w:tcW w:w="534" w:type="dxa"/>
          </w:tcPr>
          <w:p>
            <w:pPr>
              <w:pStyle w:val="0"/>
              <w:jc w:val="center"/>
            </w:pPr>
            <w:r>
              <w:rPr>
                <w:sz w:val="20"/>
              </w:rPr>
              <w:t xml:space="preserve">1.</w:t>
            </w:r>
          </w:p>
        </w:tc>
        <w:tc>
          <w:tcPr>
            <w:tcW w:w="5826" w:type="dxa"/>
          </w:tcPr>
          <w:p>
            <w:pPr>
              <w:pStyle w:val="0"/>
              <w:jc w:val="both"/>
            </w:pPr>
            <w:r>
              <w:rPr>
                <w:sz w:val="20"/>
              </w:rPr>
              <w:t xml:space="preserve">Наименование получателя субсидий</w:t>
            </w:r>
          </w:p>
        </w:tc>
        <w:tc>
          <w:tcPr>
            <w:tcW w:w="2665" w:type="dxa"/>
          </w:tcPr>
          <w:p>
            <w:pPr>
              <w:pStyle w:val="0"/>
            </w:pPr>
            <w:r>
              <w:rPr>
                <w:sz w:val="20"/>
              </w:rPr>
            </w:r>
          </w:p>
        </w:tc>
      </w:tr>
      <w:tr>
        <w:tc>
          <w:tcPr>
            <w:tcW w:w="534" w:type="dxa"/>
          </w:tcPr>
          <w:p>
            <w:pPr>
              <w:pStyle w:val="0"/>
              <w:jc w:val="center"/>
            </w:pPr>
            <w:r>
              <w:rPr>
                <w:sz w:val="20"/>
              </w:rPr>
              <w:t xml:space="preserve">2.</w:t>
            </w:r>
          </w:p>
        </w:tc>
        <w:tc>
          <w:tcPr>
            <w:tcW w:w="5826" w:type="dxa"/>
          </w:tcPr>
          <w:p>
            <w:pPr>
              <w:pStyle w:val="0"/>
              <w:jc w:val="both"/>
            </w:pPr>
            <w:r>
              <w:rPr>
                <w:sz w:val="20"/>
              </w:rPr>
              <w:t xml:space="preserve">Юридический и почтовый адреса получателя субсидий</w:t>
            </w:r>
          </w:p>
        </w:tc>
        <w:tc>
          <w:tcPr>
            <w:tcW w:w="2665" w:type="dxa"/>
          </w:tcPr>
          <w:p>
            <w:pPr>
              <w:pStyle w:val="0"/>
            </w:pPr>
            <w:r>
              <w:rPr>
                <w:sz w:val="20"/>
              </w:rPr>
            </w:r>
          </w:p>
        </w:tc>
      </w:tr>
      <w:tr>
        <w:tc>
          <w:tcPr>
            <w:tcW w:w="534" w:type="dxa"/>
          </w:tcPr>
          <w:p>
            <w:pPr>
              <w:pStyle w:val="0"/>
              <w:jc w:val="center"/>
            </w:pPr>
            <w:r>
              <w:rPr>
                <w:sz w:val="20"/>
              </w:rPr>
              <w:t xml:space="preserve">3.</w:t>
            </w:r>
          </w:p>
        </w:tc>
        <w:tc>
          <w:tcPr>
            <w:tcW w:w="5826" w:type="dxa"/>
          </w:tcPr>
          <w:p>
            <w:pPr>
              <w:pStyle w:val="0"/>
              <w:jc w:val="both"/>
            </w:pPr>
            <w:r>
              <w:rPr>
                <w:sz w:val="20"/>
              </w:rPr>
              <w:t xml:space="preserve">Фамилия, имя, отчество руководителя получателя субсидий</w:t>
            </w:r>
          </w:p>
        </w:tc>
        <w:tc>
          <w:tcPr>
            <w:tcW w:w="2665" w:type="dxa"/>
          </w:tcPr>
          <w:p>
            <w:pPr>
              <w:pStyle w:val="0"/>
            </w:pPr>
            <w:r>
              <w:rPr>
                <w:sz w:val="20"/>
              </w:rPr>
            </w:r>
          </w:p>
        </w:tc>
      </w:tr>
      <w:tr>
        <w:tc>
          <w:tcPr>
            <w:tcW w:w="534" w:type="dxa"/>
          </w:tcPr>
          <w:p>
            <w:pPr>
              <w:pStyle w:val="0"/>
              <w:jc w:val="center"/>
            </w:pPr>
            <w:r>
              <w:rPr>
                <w:sz w:val="20"/>
              </w:rPr>
              <w:t xml:space="preserve">4.</w:t>
            </w:r>
          </w:p>
        </w:tc>
        <w:tc>
          <w:tcPr>
            <w:tcW w:w="5826" w:type="dxa"/>
          </w:tcPr>
          <w:p>
            <w:pPr>
              <w:pStyle w:val="0"/>
              <w:jc w:val="both"/>
            </w:pPr>
            <w:r>
              <w:rPr>
                <w:sz w:val="20"/>
              </w:rPr>
              <w:t xml:space="preserve">Наименование субсидий и код целевой статьи Ведомственной структуры расходов бюджета Белгородской области на 20__ год в законе Белгородской области о бюджете Белгородской области на соответствующий финансовый год и плановый период</w:t>
            </w:r>
          </w:p>
        </w:tc>
        <w:tc>
          <w:tcPr>
            <w:tcW w:w="2665" w:type="dxa"/>
          </w:tcPr>
          <w:p>
            <w:pPr>
              <w:pStyle w:val="0"/>
            </w:pPr>
            <w:r>
              <w:rPr>
                <w:sz w:val="20"/>
              </w:rPr>
            </w:r>
          </w:p>
        </w:tc>
      </w:tr>
      <w:tr>
        <w:tc>
          <w:tcPr>
            <w:tcW w:w="534" w:type="dxa"/>
          </w:tcPr>
          <w:p>
            <w:pPr>
              <w:pStyle w:val="0"/>
              <w:jc w:val="center"/>
            </w:pPr>
            <w:r>
              <w:rPr>
                <w:sz w:val="20"/>
              </w:rPr>
              <w:t xml:space="preserve">5.</w:t>
            </w:r>
          </w:p>
        </w:tc>
        <w:tc>
          <w:tcPr>
            <w:tcW w:w="5826" w:type="dxa"/>
          </w:tcPr>
          <w:p>
            <w:pPr>
              <w:pStyle w:val="0"/>
              <w:jc w:val="both"/>
            </w:pPr>
            <w:r>
              <w:rPr>
                <w:sz w:val="20"/>
              </w:rPr>
              <w:t xml:space="preserve">Размер субсидий, определенный в соответствии с </w:t>
            </w:r>
            <w:hyperlink w:history="0" w:anchor="P99" w:tooltip="2.11. Размер субсидий определяется по следующей формуле:">
              <w:r>
                <w:rPr>
                  <w:sz w:val="20"/>
                  <w:color w:val="0000ff"/>
                </w:rPr>
                <w:t xml:space="preserve">пунктом 2.11 раздела 2</w:t>
              </w:r>
            </w:hyperlink>
            <w:r>
              <w:rPr>
                <w:sz w:val="20"/>
              </w:rPr>
              <w:t xml:space="preserve"> Порядка предоставления субсидий ГУП "Белоблводоканал" на возмещение затрат, связанных с производственной деятельностью</w:t>
            </w:r>
          </w:p>
        </w:tc>
        <w:tc>
          <w:tcPr>
            <w:tcW w:w="2665" w:type="dxa"/>
          </w:tcPr>
          <w:p>
            <w:pPr>
              <w:pStyle w:val="0"/>
            </w:pPr>
            <w:r>
              <w:rPr>
                <w:sz w:val="20"/>
              </w:rPr>
            </w:r>
          </w:p>
        </w:tc>
      </w:tr>
    </w:tbl>
    <w:p>
      <w:pPr>
        <w:pStyle w:val="0"/>
        <w:jc w:val="both"/>
      </w:pPr>
      <w:r>
        <w:rPr>
          <w:sz w:val="20"/>
        </w:rPr>
      </w:r>
    </w:p>
    <w:p>
      <w:pPr>
        <w:pStyle w:val="1"/>
        <w:jc w:val="both"/>
      </w:pPr>
      <w:r>
        <w:rPr>
          <w:sz w:val="20"/>
        </w:rPr>
        <w:t xml:space="preserve">Руководитель (уполномоченное лицо)</w:t>
      </w:r>
    </w:p>
    <w:p>
      <w:pPr>
        <w:pStyle w:val="1"/>
        <w:jc w:val="both"/>
      </w:pPr>
      <w:r>
        <w:rPr>
          <w:sz w:val="20"/>
        </w:rPr>
        <w:t xml:space="preserve">получателя субсидий    ___________________ __________________________</w:t>
      </w:r>
    </w:p>
    <w:p>
      <w:pPr>
        <w:pStyle w:val="1"/>
        <w:jc w:val="both"/>
      </w:pPr>
      <w:r>
        <w:rPr>
          <w:sz w:val="20"/>
        </w:rPr>
        <w:t xml:space="preserve">                            (подпись)         (расшифровка подписи)</w:t>
      </w:r>
    </w:p>
    <w:p>
      <w:pPr>
        <w:pStyle w:val="1"/>
        <w:jc w:val="both"/>
      </w:pPr>
      <w:r>
        <w:rPr>
          <w:sz w:val="20"/>
        </w:rPr>
        <w:t xml:space="preserve">М.П.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Порядку предоставления субсидий</w:t>
      </w:r>
    </w:p>
    <w:p>
      <w:pPr>
        <w:pStyle w:val="0"/>
        <w:jc w:val="right"/>
      </w:pPr>
      <w:r>
        <w:rPr>
          <w:sz w:val="20"/>
        </w:rPr>
        <w:t xml:space="preserve">ГУП "Белоблводоканал" на возмещение затрат,</w:t>
      </w:r>
    </w:p>
    <w:p>
      <w:pPr>
        <w:pStyle w:val="0"/>
        <w:jc w:val="right"/>
      </w:pPr>
      <w:r>
        <w:rPr>
          <w:sz w:val="20"/>
        </w:rPr>
        <w:t xml:space="preserve">связанных с производственной деятельностью</w:t>
      </w:r>
    </w:p>
    <w:p>
      <w:pPr>
        <w:pStyle w:val="0"/>
        <w:jc w:val="right"/>
      </w:pPr>
      <w:r>
        <w:rPr>
          <w:sz w:val="20"/>
        </w:rPr>
      </w:r>
    </w:p>
    <w:p>
      <w:pPr>
        <w:pStyle w:val="0"/>
        <w:jc w:val="right"/>
      </w:pPr>
      <w:r>
        <w:rPr>
          <w:sz w:val="20"/>
        </w:rPr>
        <w:t xml:space="preserve">Форма</w:t>
      </w:r>
    </w:p>
    <w:p>
      <w:pPr>
        <w:pStyle w:val="0"/>
        <w:jc w:val="both"/>
      </w:pPr>
      <w:r>
        <w:rPr>
          <w:sz w:val="20"/>
        </w:rPr>
      </w:r>
    </w:p>
    <w:bookmarkStart w:id="193" w:name="P193"/>
    <w:bookmarkEnd w:id="193"/>
    <w:p>
      <w:pPr>
        <w:pStyle w:val="0"/>
        <w:jc w:val="center"/>
      </w:pPr>
      <w:r>
        <w:rPr>
          <w:sz w:val="20"/>
        </w:rPr>
        <w:t xml:space="preserve">Расчет</w:t>
      </w:r>
    </w:p>
    <w:p>
      <w:pPr>
        <w:pStyle w:val="0"/>
        <w:jc w:val="center"/>
      </w:pPr>
      <w:r>
        <w:rPr>
          <w:sz w:val="20"/>
        </w:rPr>
        <w:t xml:space="preserve">расходов на возмещение затрат,</w:t>
      </w:r>
    </w:p>
    <w:p>
      <w:pPr>
        <w:pStyle w:val="0"/>
        <w:jc w:val="center"/>
      </w:pPr>
      <w:r>
        <w:rPr>
          <w:sz w:val="20"/>
        </w:rPr>
        <w:t xml:space="preserve">связанных с производственной деятельностью</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39"/>
        <w:gridCol w:w="907"/>
        <w:gridCol w:w="1939"/>
        <w:gridCol w:w="1474"/>
        <w:gridCol w:w="1474"/>
        <w:gridCol w:w="1609"/>
      </w:tblGrid>
      <w:tr>
        <w:tc>
          <w:tcPr>
            <w:tcW w:w="1639" w:type="dxa"/>
          </w:tcPr>
          <w:p>
            <w:pPr>
              <w:pStyle w:val="0"/>
              <w:jc w:val="center"/>
            </w:pPr>
            <w:r>
              <w:rPr>
                <w:sz w:val="20"/>
              </w:rPr>
              <w:t xml:space="preserve">Наименование затрат</w:t>
            </w:r>
          </w:p>
        </w:tc>
        <w:tc>
          <w:tcPr>
            <w:tcW w:w="907" w:type="dxa"/>
          </w:tcPr>
          <w:p>
            <w:pPr>
              <w:pStyle w:val="0"/>
              <w:jc w:val="center"/>
            </w:pPr>
            <w:r>
              <w:rPr>
                <w:sz w:val="20"/>
              </w:rPr>
              <w:t xml:space="preserve">Единица измерения</w:t>
            </w:r>
          </w:p>
        </w:tc>
        <w:tc>
          <w:tcPr>
            <w:tcW w:w="1939" w:type="dxa"/>
          </w:tcPr>
          <w:p>
            <w:pPr>
              <w:pStyle w:val="0"/>
              <w:jc w:val="center"/>
            </w:pPr>
            <w:r>
              <w:rPr>
                <w:sz w:val="20"/>
              </w:rPr>
              <w:t xml:space="preserve">Затраты, учтенные органом исполнительной власти, уполномоченным в области государственного регулирования тарифов, при формировании тарифов в сфере водоснабжения и водоотведения (Sуст)</w:t>
            </w:r>
          </w:p>
        </w:tc>
        <w:tc>
          <w:tcPr>
            <w:tcW w:w="1474" w:type="dxa"/>
          </w:tcPr>
          <w:p>
            <w:pPr>
              <w:pStyle w:val="0"/>
              <w:jc w:val="center"/>
            </w:pPr>
            <w:r>
              <w:rPr>
                <w:sz w:val="20"/>
              </w:rPr>
              <w:t xml:space="preserve">Фактические понесенные затраты, связанные с производственной деятельностью (Sфакт)</w:t>
            </w:r>
          </w:p>
        </w:tc>
        <w:tc>
          <w:tcPr>
            <w:tcW w:w="1474" w:type="dxa"/>
          </w:tcPr>
          <w:p>
            <w:pPr>
              <w:pStyle w:val="0"/>
              <w:jc w:val="center"/>
            </w:pPr>
            <w:r>
              <w:rPr>
                <w:sz w:val="20"/>
              </w:rPr>
              <w:t xml:space="preserve">Сумма затрат, не учтенных в утвержденных тарифах на услуги водоснабжения и/или водоотведения</w:t>
            </w:r>
          </w:p>
        </w:tc>
        <w:tc>
          <w:tcPr>
            <w:tcW w:w="1609" w:type="dxa"/>
          </w:tcPr>
          <w:p>
            <w:pPr>
              <w:pStyle w:val="0"/>
              <w:jc w:val="center"/>
            </w:pPr>
            <w:r>
              <w:rPr>
                <w:sz w:val="20"/>
              </w:rPr>
              <w:t xml:space="preserve">Размер субсидии по i-му виду экономически обоснованных затрат получателя субсидии (Si)</w:t>
            </w:r>
          </w:p>
        </w:tc>
      </w:tr>
      <w:tr>
        <w:tc>
          <w:tcPr>
            <w:tcW w:w="1639" w:type="dxa"/>
          </w:tcPr>
          <w:p>
            <w:pPr>
              <w:pStyle w:val="0"/>
              <w:jc w:val="center"/>
            </w:pPr>
            <w:r>
              <w:rPr>
                <w:sz w:val="20"/>
              </w:rPr>
              <w:t xml:space="preserve">1</w:t>
            </w:r>
          </w:p>
        </w:tc>
        <w:tc>
          <w:tcPr>
            <w:tcW w:w="907" w:type="dxa"/>
          </w:tcPr>
          <w:p>
            <w:pPr>
              <w:pStyle w:val="0"/>
              <w:jc w:val="center"/>
            </w:pPr>
            <w:r>
              <w:rPr>
                <w:sz w:val="20"/>
              </w:rPr>
              <w:t xml:space="preserve">2</w:t>
            </w:r>
          </w:p>
        </w:tc>
        <w:tc>
          <w:tcPr>
            <w:tcW w:w="1939" w:type="dxa"/>
          </w:tcPr>
          <w:p>
            <w:pPr>
              <w:pStyle w:val="0"/>
              <w:jc w:val="center"/>
            </w:pPr>
            <w:r>
              <w:rPr>
                <w:sz w:val="20"/>
              </w:rPr>
              <w:t xml:space="preserve">3</w:t>
            </w:r>
          </w:p>
        </w:tc>
        <w:tc>
          <w:tcPr>
            <w:tcW w:w="1474" w:type="dxa"/>
          </w:tcPr>
          <w:p>
            <w:pPr>
              <w:pStyle w:val="0"/>
              <w:jc w:val="center"/>
            </w:pPr>
            <w:r>
              <w:rPr>
                <w:sz w:val="20"/>
              </w:rPr>
              <w:t xml:space="preserve">4</w:t>
            </w:r>
          </w:p>
        </w:tc>
        <w:tc>
          <w:tcPr>
            <w:tcW w:w="1474" w:type="dxa"/>
          </w:tcPr>
          <w:p>
            <w:pPr>
              <w:pStyle w:val="0"/>
              <w:jc w:val="center"/>
            </w:pPr>
            <w:r>
              <w:rPr>
                <w:sz w:val="20"/>
              </w:rPr>
              <w:t xml:space="preserve">5 = 4 - 3</w:t>
            </w:r>
          </w:p>
        </w:tc>
        <w:tc>
          <w:tcPr>
            <w:tcW w:w="1609" w:type="dxa"/>
          </w:tcPr>
          <w:p>
            <w:pPr>
              <w:pStyle w:val="0"/>
              <w:jc w:val="center"/>
            </w:pPr>
            <w:r>
              <w:rPr>
                <w:sz w:val="20"/>
              </w:rPr>
              <w:t xml:space="preserve">6</w:t>
            </w:r>
          </w:p>
        </w:tc>
      </w:tr>
      <w:tr>
        <w:tc>
          <w:tcPr>
            <w:tcW w:w="1639" w:type="dxa"/>
          </w:tcPr>
          <w:p>
            <w:pPr>
              <w:pStyle w:val="0"/>
            </w:pPr>
            <w:r>
              <w:rPr>
                <w:sz w:val="20"/>
              </w:rPr>
              <w:t xml:space="preserve">Общая сумма субсидий (Sобщ.)</w:t>
            </w:r>
          </w:p>
        </w:tc>
        <w:tc>
          <w:tcPr>
            <w:tcW w:w="907" w:type="dxa"/>
            <w:vAlign w:val="center"/>
          </w:tcPr>
          <w:p>
            <w:pPr>
              <w:pStyle w:val="0"/>
              <w:jc w:val="center"/>
            </w:pPr>
            <w:r>
              <w:rPr>
                <w:sz w:val="20"/>
              </w:rPr>
              <w:t xml:space="preserve">руб.</w:t>
            </w:r>
          </w:p>
        </w:tc>
        <w:tc>
          <w:tcPr>
            <w:tcW w:w="1939"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609" w:type="dxa"/>
          </w:tcPr>
          <w:p>
            <w:pPr>
              <w:pStyle w:val="0"/>
            </w:pPr>
            <w:r>
              <w:rPr>
                <w:sz w:val="20"/>
              </w:rPr>
            </w:r>
          </w:p>
        </w:tc>
      </w:tr>
      <w:tr>
        <w:tc>
          <w:tcPr>
            <w:tcW w:w="1639" w:type="dxa"/>
          </w:tcPr>
          <w:p>
            <w:pPr>
              <w:pStyle w:val="0"/>
            </w:pPr>
            <w:r>
              <w:rPr>
                <w:sz w:val="20"/>
              </w:rPr>
              <w:t xml:space="preserve">в том числе:</w:t>
            </w:r>
          </w:p>
        </w:tc>
        <w:tc>
          <w:tcPr>
            <w:tcW w:w="907" w:type="dxa"/>
          </w:tcPr>
          <w:p>
            <w:pPr>
              <w:pStyle w:val="0"/>
            </w:pPr>
            <w:r>
              <w:rPr>
                <w:sz w:val="20"/>
              </w:rPr>
            </w:r>
          </w:p>
        </w:tc>
        <w:tc>
          <w:tcPr>
            <w:tcW w:w="1939"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609" w:type="dxa"/>
          </w:tcPr>
          <w:p>
            <w:pPr>
              <w:pStyle w:val="0"/>
            </w:pPr>
            <w:r>
              <w:rPr>
                <w:sz w:val="20"/>
              </w:rPr>
            </w:r>
          </w:p>
        </w:tc>
      </w:tr>
      <w:tr>
        <w:tc>
          <w:tcPr>
            <w:tcW w:w="1639" w:type="dxa"/>
          </w:tcPr>
          <w:p>
            <w:pPr>
              <w:pStyle w:val="0"/>
            </w:pPr>
            <w:r>
              <w:rPr>
                <w:sz w:val="20"/>
              </w:rPr>
            </w:r>
          </w:p>
        </w:tc>
        <w:tc>
          <w:tcPr>
            <w:tcW w:w="907" w:type="dxa"/>
          </w:tcPr>
          <w:p>
            <w:pPr>
              <w:pStyle w:val="0"/>
            </w:pPr>
            <w:r>
              <w:rPr>
                <w:sz w:val="20"/>
              </w:rPr>
            </w:r>
          </w:p>
        </w:tc>
        <w:tc>
          <w:tcPr>
            <w:tcW w:w="1939"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609" w:type="dxa"/>
          </w:tcPr>
          <w:p>
            <w:pPr>
              <w:pStyle w:val="0"/>
            </w:pPr>
            <w:r>
              <w:rPr>
                <w:sz w:val="20"/>
              </w:rPr>
            </w:r>
          </w:p>
        </w:tc>
      </w:tr>
      <w:tr>
        <w:tc>
          <w:tcPr>
            <w:tcW w:w="1639" w:type="dxa"/>
          </w:tcPr>
          <w:p>
            <w:pPr>
              <w:pStyle w:val="0"/>
            </w:pPr>
            <w:r>
              <w:rPr>
                <w:sz w:val="20"/>
              </w:rPr>
            </w:r>
          </w:p>
        </w:tc>
        <w:tc>
          <w:tcPr>
            <w:tcW w:w="907" w:type="dxa"/>
          </w:tcPr>
          <w:p>
            <w:pPr>
              <w:pStyle w:val="0"/>
            </w:pPr>
            <w:r>
              <w:rPr>
                <w:sz w:val="20"/>
              </w:rPr>
            </w:r>
          </w:p>
        </w:tc>
        <w:tc>
          <w:tcPr>
            <w:tcW w:w="1939"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609" w:type="dxa"/>
          </w:tcPr>
          <w:p>
            <w:pPr>
              <w:pStyle w:val="0"/>
            </w:pPr>
            <w:r>
              <w:rPr>
                <w:sz w:val="20"/>
              </w:rPr>
            </w:r>
          </w:p>
        </w:tc>
      </w:tr>
      <w:tr>
        <w:tc>
          <w:tcPr>
            <w:tcW w:w="1639" w:type="dxa"/>
          </w:tcPr>
          <w:p>
            <w:pPr>
              <w:pStyle w:val="0"/>
            </w:pPr>
            <w:r>
              <w:rPr>
                <w:sz w:val="20"/>
              </w:rPr>
            </w:r>
          </w:p>
        </w:tc>
        <w:tc>
          <w:tcPr>
            <w:tcW w:w="907" w:type="dxa"/>
          </w:tcPr>
          <w:p>
            <w:pPr>
              <w:pStyle w:val="0"/>
            </w:pPr>
            <w:r>
              <w:rPr>
                <w:sz w:val="20"/>
              </w:rPr>
            </w:r>
          </w:p>
        </w:tc>
        <w:tc>
          <w:tcPr>
            <w:tcW w:w="1939" w:type="dxa"/>
          </w:tcPr>
          <w:p>
            <w:pPr>
              <w:pStyle w:val="0"/>
            </w:pPr>
            <w:r>
              <w:rPr>
                <w:sz w:val="20"/>
              </w:rPr>
            </w:r>
          </w:p>
        </w:tc>
        <w:tc>
          <w:tcPr>
            <w:tcW w:w="1474" w:type="dxa"/>
          </w:tcPr>
          <w:p>
            <w:pPr>
              <w:pStyle w:val="0"/>
            </w:pPr>
            <w:r>
              <w:rPr>
                <w:sz w:val="20"/>
              </w:rPr>
            </w:r>
          </w:p>
        </w:tc>
        <w:tc>
          <w:tcPr>
            <w:tcW w:w="1474" w:type="dxa"/>
          </w:tcPr>
          <w:p>
            <w:pPr>
              <w:pStyle w:val="0"/>
            </w:pPr>
            <w:r>
              <w:rPr>
                <w:sz w:val="20"/>
              </w:rPr>
            </w:r>
          </w:p>
        </w:tc>
        <w:tc>
          <w:tcPr>
            <w:tcW w:w="1609"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362"/>
        <w:gridCol w:w="1531"/>
        <w:gridCol w:w="480"/>
        <w:gridCol w:w="2665"/>
      </w:tblGrid>
      <w:tr>
        <w:tc>
          <w:tcPr>
            <w:tcW w:w="4362" w:type="dxa"/>
            <w:tcBorders>
              <w:top w:val="nil"/>
              <w:left w:val="nil"/>
              <w:bottom w:val="nil"/>
              <w:right w:val="nil"/>
            </w:tcBorders>
          </w:tcPr>
          <w:p>
            <w:pPr>
              <w:pStyle w:val="0"/>
            </w:pPr>
            <w:r>
              <w:rPr>
                <w:sz w:val="20"/>
              </w:rPr>
              <w:t xml:space="preserve">Руководитель (уполномоченное</w:t>
            </w:r>
          </w:p>
          <w:p>
            <w:pPr>
              <w:pStyle w:val="0"/>
            </w:pPr>
            <w:r>
              <w:rPr>
                <w:sz w:val="20"/>
              </w:rPr>
              <w:t xml:space="preserve">лицо) получатель субсидий</w:t>
            </w:r>
          </w:p>
        </w:tc>
        <w:tc>
          <w:tcPr>
            <w:tcW w:w="1531" w:type="dxa"/>
            <w:tcBorders>
              <w:top w:val="nil"/>
              <w:left w:val="nil"/>
              <w:bottom w:val="single" w:sz="4"/>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single" w:sz="4"/>
              <w:right w:val="nil"/>
            </w:tcBorders>
          </w:tcPr>
          <w:p>
            <w:pPr>
              <w:pStyle w:val="0"/>
              <w:jc w:val="both"/>
            </w:pPr>
            <w:r>
              <w:rPr>
                <w:sz w:val="20"/>
              </w:rPr>
            </w:r>
          </w:p>
        </w:tc>
      </w:tr>
      <w:tr>
        <w:tc>
          <w:tcPr>
            <w:tcW w:w="4362" w:type="dxa"/>
            <w:tcBorders>
              <w:top w:val="nil"/>
              <w:left w:val="nil"/>
              <w:bottom w:val="nil"/>
              <w:right w:val="nil"/>
            </w:tcBorders>
          </w:tcPr>
          <w:p>
            <w:pPr>
              <w:pStyle w:val="0"/>
              <w:jc w:val="center"/>
            </w:pPr>
            <w:r>
              <w:rPr>
                <w:sz w:val="20"/>
              </w:rPr>
            </w:r>
          </w:p>
        </w:tc>
        <w:tc>
          <w:tcPr>
            <w:tcW w:w="1531" w:type="dxa"/>
            <w:tcBorders>
              <w:top w:val="single" w:sz="4"/>
              <w:left w:val="nil"/>
              <w:bottom w:val="nil"/>
              <w:right w:val="nil"/>
            </w:tcBorders>
          </w:tcPr>
          <w:p>
            <w:pPr>
              <w:pStyle w:val="0"/>
              <w:jc w:val="center"/>
            </w:pPr>
            <w:r>
              <w:rPr>
                <w:sz w:val="20"/>
              </w:rPr>
              <w:t xml:space="preserve">(подпись)</w:t>
            </w:r>
          </w:p>
        </w:tc>
        <w:tc>
          <w:tcPr>
            <w:tcW w:w="480" w:type="dxa"/>
            <w:tcBorders>
              <w:top w:val="nil"/>
              <w:left w:val="nil"/>
              <w:bottom w:val="nil"/>
              <w:right w:val="nil"/>
            </w:tcBorders>
          </w:tcPr>
          <w:p>
            <w:pPr>
              <w:pStyle w:val="0"/>
              <w:jc w:val="center"/>
            </w:pPr>
            <w:r>
              <w:rPr>
                <w:sz w:val="20"/>
              </w:rPr>
            </w:r>
          </w:p>
        </w:tc>
        <w:tc>
          <w:tcPr>
            <w:tcW w:w="2665" w:type="dxa"/>
            <w:tcBorders>
              <w:top w:val="single" w:sz="4"/>
              <w:left w:val="nil"/>
              <w:bottom w:val="nil"/>
              <w:right w:val="nil"/>
            </w:tcBorders>
          </w:tcPr>
          <w:p>
            <w:pPr>
              <w:pStyle w:val="0"/>
              <w:jc w:val="center"/>
            </w:pPr>
            <w:r>
              <w:rPr>
                <w:sz w:val="20"/>
              </w:rPr>
              <w:t xml:space="preserve">(расшифровка подписи)</w:t>
            </w:r>
          </w:p>
        </w:tc>
      </w:tr>
      <w:tr>
        <w:tc>
          <w:tcPr>
            <w:tcW w:w="4362" w:type="dxa"/>
            <w:tcBorders>
              <w:top w:val="nil"/>
              <w:left w:val="nil"/>
              <w:bottom w:val="nil"/>
              <w:right w:val="nil"/>
            </w:tcBorders>
          </w:tcPr>
          <w:p>
            <w:pPr>
              <w:pStyle w:val="0"/>
            </w:pPr>
            <w:r>
              <w:rPr>
                <w:sz w:val="20"/>
              </w:rPr>
              <w:t xml:space="preserve">М.П.</w:t>
            </w:r>
          </w:p>
        </w:tc>
        <w:tc>
          <w:tcPr>
            <w:tcW w:w="1531" w:type="dxa"/>
            <w:tcBorders>
              <w:top w:val="nil"/>
              <w:left w:val="nil"/>
              <w:bottom w:val="nil"/>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nil"/>
              <w:right w:val="nil"/>
            </w:tcBorders>
          </w:tcPr>
          <w:p>
            <w:pPr>
              <w:pStyle w:val="0"/>
              <w:jc w:val="both"/>
            </w:pPr>
            <w:r>
              <w:rPr>
                <w:sz w:val="20"/>
              </w:rPr>
            </w:r>
          </w:p>
        </w:tc>
      </w:tr>
      <w:tr>
        <w:tc>
          <w:tcPr>
            <w:tcW w:w="4362" w:type="dxa"/>
            <w:tcBorders>
              <w:top w:val="nil"/>
              <w:left w:val="nil"/>
              <w:bottom w:val="nil"/>
              <w:right w:val="nil"/>
            </w:tcBorders>
          </w:tcPr>
          <w:p>
            <w:pPr>
              <w:pStyle w:val="0"/>
            </w:pPr>
            <w:r>
              <w:rPr>
                <w:sz w:val="20"/>
              </w:rPr>
              <w:t xml:space="preserve">Главный бухгалтер</w:t>
            </w:r>
          </w:p>
        </w:tc>
        <w:tc>
          <w:tcPr>
            <w:tcW w:w="1531" w:type="dxa"/>
            <w:tcBorders>
              <w:top w:val="nil"/>
              <w:left w:val="nil"/>
              <w:bottom w:val="single" w:sz="4"/>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single" w:sz="4"/>
              <w:right w:val="nil"/>
            </w:tcBorders>
          </w:tcPr>
          <w:p>
            <w:pPr>
              <w:pStyle w:val="0"/>
              <w:jc w:val="both"/>
            </w:pPr>
            <w:r>
              <w:rPr>
                <w:sz w:val="20"/>
              </w:rPr>
            </w:r>
          </w:p>
        </w:tc>
      </w:tr>
      <w:tr>
        <w:tc>
          <w:tcPr>
            <w:tcW w:w="4362" w:type="dxa"/>
            <w:tcBorders>
              <w:top w:val="nil"/>
              <w:left w:val="nil"/>
              <w:bottom w:val="nil"/>
              <w:right w:val="nil"/>
            </w:tcBorders>
          </w:tcPr>
          <w:p>
            <w:pPr>
              <w:pStyle w:val="0"/>
            </w:pPr>
            <w:r>
              <w:rPr>
                <w:sz w:val="20"/>
              </w:rPr>
            </w:r>
          </w:p>
        </w:tc>
        <w:tc>
          <w:tcPr>
            <w:tcW w:w="1531" w:type="dxa"/>
            <w:tcBorders>
              <w:top w:val="single" w:sz="4"/>
              <w:left w:val="nil"/>
              <w:bottom w:val="nil"/>
              <w:right w:val="nil"/>
            </w:tcBorders>
          </w:tcPr>
          <w:p>
            <w:pPr>
              <w:pStyle w:val="0"/>
              <w:jc w:val="center"/>
            </w:pPr>
            <w:r>
              <w:rPr>
                <w:sz w:val="20"/>
              </w:rPr>
              <w:t xml:space="preserve">(подпись)</w:t>
            </w:r>
          </w:p>
        </w:tc>
        <w:tc>
          <w:tcPr>
            <w:tcW w:w="480" w:type="dxa"/>
            <w:tcBorders>
              <w:top w:val="nil"/>
              <w:left w:val="nil"/>
              <w:bottom w:val="nil"/>
              <w:right w:val="nil"/>
            </w:tcBorders>
          </w:tcPr>
          <w:p>
            <w:pPr>
              <w:pStyle w:val="0"/>
              <w:jc w:val="center"/>
            </w:pPr>
            <w:r>
              <w:rPr>
                <w:sz w:val="20"/>
              </w:rPr>
            </w:r>
          </w:p>
        </w:tc>
        <w:tc>
          <w:tcPr>
            <w:tcW w:w="2665" w:type="dxa"/>
            <w:tcBorders>
              <w:top w:val="single" w:sz="4"/>
              <w:left w:val="nil"/>
              <w:bottom w:val="nil"/>
              <w:right w:val="nil"/>
            </w:tcBorders>
          </w:tcPr>
          <w:p>
            <w:pPr>
              <w:pStyle w:val="0"/>
              <w:jc w:val="center"/>
            </w:pPr>
            <w:r>
              <w:rPr>
                <w:sz w:val="20"/>
              </w:rPr>
              <w:t xml:space="preserve">(расшифровка подписи)</w:t>
            </w:r>
          </w:p>
        </w:tc>
      </w:tr>
      <w:tr>
        <w:tc>
          <w:tcPr>
            <w:tcW w:w="4362" w:type="dxa"/>
            <w:tcBorders>
              <w:top w:val="nil"/>
              <w:left w:val="nil"/>
              <w:bottom w:val="nil"/>
              <w:right w:val="nil"/>
            </w:tcBorders>
          </w:tcPr>
          <w:p>
            <w:pPr>
              <w:pStyle w:val="0"/>
            </w:pPr>
            <w:r>
              <w:rPr>
                <w:sz w:val="20"/>
              </w:rPr>
              <w:t xml:space="preserve">М.П.</w:t>
            </w:r>
          </w:p>
        </w:tc>
        <w:tc>
          <w:tcPr>
            <w:tcW w:w="1531" w:type="dxa"/>
            <w:tcBorders>
              <w:top w:val="nil"/>
              <w:left w:val="nil"/>
              <w:bottom w:val="nil"/>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nil"/>
              <w:right w:val="nil"/>
            </w:tcBorders>
          </w:tcPr>
          <w:p>
            <w:pPr>
              <w:pStyle w:val="0"/>
              <w:jc w:val="both"/>
            </w:pPr>
            <w:r>
              <w:rPr>
                <w:sz w:val="20"/>
              </w:rPr>
            </w:r>
          </w:p>
        </w:tc>
      </w:tr>
      <w:tr>
        <w:tc>
          <w:tcPr>
            <w:tcW w:w="4362" w:type="dxa"/>
            <w:tcBorders>
              <w:top w:val="nil"/>
              <w:left w:val="nil"/>
              <w:bottom w:val="nil"/>
              <w:right w:val="nil"/>
            </w:tcBorders>
          </w:tcPr>
          <w:p>
            <w:pPr>
              <w:pStyle w:val="0"/>
            </w:pPr>
            <w:r>
              <w:rPr>
                <w:sz w:val="20"/>
              </w:rPr>
              <w:t xml:space="preserve">Согласовано:</w:t>
            </w:r>
          </w:p>
        </w:tc>
        <w:tc>
          <w:tcPr>
            <w:tcW w:w="1531" w:type="dxa"/>
            <w:tcBorders>
              <w:top w:val="nil"/>
              <w:left w:val="nil"/>
              <w:bottom w:val="nil"/>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nil"/>
              <w:right w:val="nil"/>
            </w:tcBorders>
          </w:tcPr>
          <w:p>
            <w:pPr>
              <w:pStyle w:val="0"/>
              <w:jc w:val="both"/>
            </w:pPr>
            <w:r>
              <w:rPr>
                <w:sz w:val="20"/>
              </w:rPr>
            </w:r>
          </w:p>
        </w:tc>
      </w:tr>
      <w:tr>
        <w:tc>
          <w:tcPr>
            <w:tcW w:w="4362" w:type="dxa"/>
            <w:tcBorders>
              <w:top w:val="nil"/>
              <w:left w:val="nil"/>
              <w:bottom w:val="nil"/>
              <w:right w:val="nil"/>
            </w:tcBorders>
          </w:tcPr>
          <w:p>
            <w:pPr>
              <w:pStyle w:val="0"/>
            </w:pPr>
            <w:r>
              <w:rPr>
                <w:sz w:val="20"/>
              </w:rPr>
              <w:t xml:space="preserve">Министр жилищно-коммунального</w:t>
            </w:r>
          </w:p>
          <w:p>
            <w:pPr>
              <w:pStyle w:val="0"/>
            </w:pPr>
            <w:r>
              <w:rPr>
                <w:sz w:val="20"/>
              </w:rPr>
              <w:t xml:space="preserve">хозяйства Белгородской области</w:t>
            </w:r>
          </w:p>
        </w:tc>
        <w:tc>
          <w:tcPr>
            <w:tcW w:w="1531" w:type="dxa"/>
            <w:tcBorders>
              <w:top w:val="nil"/>
              <w:left w:val="nil"/>
              <w:bottom w:val="single" w:sz="4"/>
              <w:right w:val="nil"/>
            </w:tcBorders>
          </w:tcPr>
          <w:p>
            <w:pPr>
              <w:pStyle w:val="0"/>
              <w:jc w:val="both"/>
            </w:pPr>
            <w:r>
              <w:rPr>
                <w:sz w:val="20"/>
              </w:rPr>
            </w:r>
          </w:p>
        </w:tc>
        <w:tc>
          <w:tcPr>
            <w:tcW w:w="480" w:type="dxa"/>
            <w:tcBorders>
              <w:top w:val="nil"/>
              <w:left w:val="nil"/>
              <w:bottom w:val="nil"/>
              <w:right w:val="nil"/>
            </w:tcBorders>
          </w:tcPr>
          <w:p>
            <w:pPr>
              <w:pStyle w:val="0"/>
              <w:jc w:val="both"/>
            </w:pPr>
            <w:r>
              <w:rPr>
                <w:sz w:val="20"/>
              </w:rPr>
            </w:r>
          </w:p>
        </w:tc>
        <w:tc>
          <w:tcPr>
            <w:tcW w:w="2665" w:type="dxa"/>
            <w:tcBorders>
              <w:top w:val="nil"/>
              <w:left w:val="nil"/>
              <w:bottom w:val="single" w:sz="4"/>
              <w:right w:val="nil"/>
            </w:tcBorders>
          </w:tcPr>
          <w:p>
            <w:pPr>
              <w:pStyle w:val="0"/>
              <w:jc w:val="both"/>
            </w:pPr>
            <w:r>
              <w:rPr>
                <w:sz w:val="20"/>
              </w:rPr>
            </w:r>
          </w:p>
        </w:tc>
      </w:tr>
      <w:tr>
        <w:tc>
          <w:tcPr>
            <w:tcW w:w="4362" w:type="dxa"/>
            <w:tcBorders>
              <w:top w:val="nil"/>
              <w:left w:val="nil"/>
              <w:bottom w:val="nil"/>
              <w:right w:val="nil"/>
            </w:tcBorders>
          </w:tcPr>
          <w:p>
            <w:pPr>
              <w:pStyle w:val="0"/>
            </w:pPr>
            <w:r>
              <w:rPr>
                <w:sz w:val="20"/>
              </w:rPr>
              <w:t xml:space="preserve">М.П.</w:t>
            </w:r>
          </w:p>
        </w:tc>
        <w:tc>
          <w:tcPr>
            <w:tcW w:w="1531" w:type="dxa"/>
            <w:tcBorders>
              <w:top w:val="single" w:sz="4"/>
              <w:left w:val="nil"/>
              <w:bottom w:val="nil"/>
              <w:right w:val="nil"/>
            </w:tcBorders>
          </w:tcPr>
          <w:p>
            <w:pPr>
              <w:pStyle w:val="0"/>
              <w:jc w:val="center"/>
            </w:pPr>
            <w:r>
              <w:rPr>
                <w:sz w:val="20"/>
              </w:rPr>
              <w:t xml:space="preserve">(подпись)</w:t>
            </w:r>
          </w:p>
        </w:tc>
        <w:tc>
          <w:tcPr>
            <w:tcW w:w="480" w:type="dxa"/>
            <w:tcBorders>
              <w:top w:val="nil"/>
              <w:left w:val="nil"/>
              <w:bottom w:val="nil"/>
              <w:right w:val="nil"/>
            </w:tcBorders>
          </w:tcPr>
          <w:p>
            <w:pPr>
              <w:pStyle w:val="0"/>
              <w:jc w:val="center"/>
            </w:pPr>
            <w:r>
              <w:rPr>
                <w:sz w:val="20"/>
              </w:rPr>
            </w:r>
          </w:p>
        </w:tc>
        <w:tc>
          <w:tcPr>
            <w:tcW w:w="2665" w:type="dxa"/>
            <w:tcBorders>
              <w:top w:val="single" w:sz="4"/>
              <w:left w:val="nil"/>
              <w:bottom w:val="nil"/>
              <w:right w:val="nil"/>
            </w:tcBorders>
          </w:tcPr>
          <w:p>
            <w:pPr>
              <w:pStyle w:val="0"/>
              <w:jc w:val="center"/>
            </w:pPr>
            <w:r>
              <w:rPr>
                <w:sz w:val="20"/>
              </w:rPr>
              <w:t xml:space="preserve">(расшифровка подписи)</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Порядку предоставления субсидий</w:t>
      </w:r>
    </w:p>
    <w:p>
      <w:pPr>
        <w:pStyle w:val="0"/>
        <w:jc w:val="right"/>
      </w:pPr>
      <w:r>
        <w:rPr>
          <w:sz w:val="20"/>
        </w:rPr>
        <w:t xml:space="preserve">ГУП "Белоблводоканал" на возмещение затрат,</w:t>
      </w:r>
    </w:p>
    <w:p>
      <w:pPr>
        <w:pStyle w:val="0"/>
        <w:jc w:val="right"/>
      </w:pPr>
      <w:r>
        <w:rPr>
          <w:sz w:val="20"/>
        </w:rPr>
        <w:t xml:space="preserve">связанных с производственной деятельностью</w:t>
      </w:r>
    </w:p>
    <w:p>
      <w:pPr>
        <w:pStyle w:val="0"/>
        <w:jc w:val="right"/>
      </w:pPr>
      <w:r>
        <w:rPr>
          <w:sz w:val="20"/>
        </w:rPr>
      </w:r>
    </w:p>
    <w:p>
      <w:pPr>
        <w:pStyle w:val="0"/>
        <w:jc w:val="right"/>
      </w:pPr>
      <w:r>
        <w:rPr>
          <w:sz w:val="20"/>
        </w:rPr>
        <w:t xml:space="preserve">Форма</w:t>
      </w:r>
    </w:p>
    <w:p>
      <w:pPr>
        <w:pStyle w:val="0"/>
        <w:jc w:val="both"/>
      </w:pPr>
      <w:r>
        <w:rPr>
          <w:sz w:val="20"/>
        </w:rPr>
      </w:r>
    </w:p>
    <w:bookmarkStart w:id="290" w:name="P290"/>
    <w:bookmarkEnd w:id="290"/>
    <w:p>
      <w:pPr>
        <w:pStyle w:val="0"/>
        <w:jc w:val="center"/>
      </w:pPr>
      <w:r>
        <w:rPr>
          <w:sz w:val="20"/>
        </w:rPr>
        <w:t xml:space="preserve">Расходы,</w:t>
      </w:r>
    </w:p>
    <w:p>
      <w:pPr>
        <w:pStyle w:val="0"/>
        <w:jc w:val="center"/>
      </w:pPr>
      <w:r>
        <w:rPr>
          <w:sz w:val="20"/>
        </w:rPr>
        <w:t xml:space="preserve">учтенные управлением по государственному регулированию цен</w:t>
      </w:r>
    </w:p>
    <w:p>
      <w:pPr>
        <w:pStyle w:val="0"/>
        <w:jc w:val="center"/>
      </w:pPr>
      <w:r>
        <w:rPr>
          <w:sz w:val="20"/>
        </w:rPr>
        <w:t xml:space="preserve">и тарифов в Белгородской области, при формировании тарифов</w:t>
      </w:r>
    </w:p>
    <w:p>
      <w:pPr>
        <w:pStyle w:val="0"/>
        <w:jc w:val="center"/>
      </w:pPr>
      <w:r>
        <w:rPr>
          <w:sz w:val="20"/>
        </w:rPr>
        <w:t xml:space="preserve">в сфере водоснабжения и водоотведения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76"/>
        <w:gridCol w:w="4252"/>
        <w:gridCol w:w="1204"/>
        <w:gridCol w:w="3005"/>
      </w:tblGrid>
      <w:tr>
        <w:tc>
          <w:tcPr>
            <w:tcW w:w="576" w:type="dxa"/>
          </w:tcPr>
          <w:p>
            <w:pPr>
              <w:pStyle w:val="0"/>
              <w:jc w:val="center"/>
            </w:pPr>
            <w:r>
              <w:rPr>
                <w:sz w:val="20"/>
              </w:rPr>
              <w:t xml:space="preserve">N п/п</w:t>
            </w:r>
          </w:p>
        </w:tc>
        <w:tc>
          <w:tcPr>
            <w:tcW w:w="4252" w:type="dxa"/>
          </w:tcPr>
          <w:p>
            <w:pPr>
              <w:pStyle w:val="0"/>
              <w:jc w:val="center"/>
            </w:pPr>
            <w:r>
              <w:rPr>
                <w:sz w:val="20"/>
              </w:rPr>
              <w:t xml:space="preserve">Наименование статьи затрат</w:t>
            </w:r>
          </w:p>
        </w:tc>
        <w:tc>
          <w:tcPr>
            <w:tcW w:w="1204" w:type="dxa"/>
          </w:tcPr>
          <w:p>
            <w:pPr>
              <w:pStyle w:val="0"/>
              <w:jc w:val="center"/>
            </w:pPr>
            <w:r>
              <w:rPr>
                <w:sz w:val="20"/>
              </w:rPr>
              <w:t xml:space="preserve">Единица измерения</w:t>
            </w:r>
          </w:p>
        </w:tc>
        <w:tc>
          <w:tcPr>
            <w:tcW w:w="3005" w:type="dxa"/>
          </w:tcPr>
          <w:p>
            <w:pPr>
              <w:pStyle w:val="0"/>
              <w:jc w:val="center"/>
            </w:pPr>
            <w:r>
              <w:rPr>
                <w:sz w:val="20"/>
              </w:rPr>
              <w:t xml:space="preserve">Учтено при формировании тарифов на год</w:t>
            </w:r>
          </w:p>
        </w:tc>
      </w:tr>
      <w:tr>
        <w:tc>
          <w:tcPr>
            <w:tcW w:w="576" w:type="dxa"/>
          </w:tcPr>
          <w:p>
            <w:pPr>
              <w:pStyle w:val="0"/>
              <w:jc w:val="center"/>
            </w:pPr>
            <w:r>
              <w:rPr>
                <w:sz w:val="20"/>
              </w:rPr>
              <w:t xml:space="preserve">1.</w:t>
            </w:r>
          </w:p>
        </w:tc>
        <w:tc>
          <w:tcPr>
            <w:tcW w:w="4252" w:type="dxa"/>
          </w:tcPr>
          <w:p>
            <w:pPr>
              <w:pStyle w:val="0"/>
            </w:pPr>
            <w:r>
              <w:rPr>
                <w:sz w:val="20"/>
              </w:rPr>
            </w:r>
          </w:p>
        </w:tc>
        <w:tc>
          <w:tcPr>
            <w:tcW w:w="1204" w:type="dxa"/>
          </w:tcPr>
          <w:p>
            <w:pPr>
              <w:pStyle w:val="0"/>
              <w:jc w:val="center"/>
            </w:pPr>
            <w:r>
              <w:rPr>
                <w:sz w:val="20"/>
              </w:rPr>
              <w:t xml:space="preserve">тыс. руб.</w:t>
            </w:r>
          </w:p>
        </w:tc>
        <w:tc>
          <w:tcPr>
            <w:tcW w:w="3005" w:type="dxa"/>
          </w:tcPr>
          <w:p>
            <w:pPr>
              <w:pStyle w:val="0"/>
            </w:pPr>
            <w:r>
              <w:rPr>
                <w:sz w:val="20"/>
              </w:rPr>
            </w:r>
          </w:p>
        </w:tc>
      </w:tr>
      <w:tr>
        <w:tc>
          <w:tcPr>
            <w:tcW w:w="576" w:type="dxa"/>
          </w:tcPr>
          <w:p>
            <w:pPr>
              <w:pStyle w:val="0"/>
              <w:jc w:val="center"/>
            </w:pPr>
            <w:r>
              <w:rPr>
                <w:sz w:val="20"/>
              </w:rPr>
              <w:t xml:space="preserve">2.</w:t>
            </w:r>
          </w:p>
        </w:tc>
        <w:tc>
          <w:tcPr>
            <w:tcW w:w="4252" w:type="dxa"/>
          </w:tcPr>
          <w:p>
            <w:pPr>
              <w:pStyle w:val="0"/>
            </w:pPr>
            <w:r>
              <w:rPr>
                <w:sz w:val="20"/>
              </w:rPr>
            </w:r>
          </w:p>
        </w:tc>
        <w:tc>
          <w:tcPr>
            <w:tcW w:w="1204" w:type="dxa"/>
          </w:tcPr>
          <w:p>
            <w:pPr>
              <w:pStyle w:val="0"/>
            </w:pPr>
            <w:r>
              <w:rPr>
                <w:sz w:val="20"/>
              </w:rPr>
            </w:r>
          </w:p>
        </w:tc>
        <w:tc>
          <w:tcPr>
            <w:tcW w:w="3005" w:type="dxa"/>
          </w:tcPr>
          <w:p>
            <w:pPr>
              <w:pStyle w:val="0"/>
            </w:pPr>
            <w:r>
              <w:rPr>
                <w:sz w:val="20"/>
              </w:rPr>
            </w:r>
          </w:p>
        </w:tc>
      </w:tr>
      <w:tr>
        <w:tc>
          <w:tcPr>
            <w:tcW w:w="576" w:type="dxa"/>
          </w:tcPr>
          <w:p>
            <w:pPr>
              <w:pStyle w:val="0"/>
              <w:jc w:val="center"/>
            </w:pPr>
            <w:r>
              <w:rPr>
                <w:sz w:val="20"/>
              </w:rPr>
              <w:t xml:space="preserve">3.</w:t>
            </w:r>
          </w:p>
        </w:tc>
        <w:tc>
          <w:tcPr>
            <w:tcW w:w="4252" w:type="dxa"/>
          </w:tcPr>
          <w:p>
            <w:pPr>
              <w:pStyle w:val="0"/>
            </w:pPr>
            <w:r>
              <w:rPr>
                <w:sz w:val="20"/>
              </w:rPr>
            </w:r>
          </w:p>
        </w:tc>
        <w:tc>
          <w:tcPr>
            <w:tcW w:w="1204" w:type="dxa"/>
          </w:tcPr>
          <w:p>
            <w:pPr>
              <w:pStyle w:val="0"/>
            </w:pPr>
            <w:r>
              <w:rPr>
                <w:sz w:val="20"/>
              </w:rPr>
            </w:r>
          </w:p>
        </w:tc>
        <w:tc>
          <w:tcPr>
            <w:tcW w:w="3005" w:type="dxa"/>
          </w:tcPr>
          <w:p>
            <w:pPr>
              <w:pStyle w:val="0"/>
            </w:pPr>
            <w:r>
              <w:rPr>
                <w:sz w:val="20"/>
              </w:rPr>
            </w:r>
          </w:p>
        </w:tc>
      </w:tr>
    </w:tbl>
    <w:p>
      <w:pPr>
        <w:pStyle w:val="0"/>
        <w:jc w:val="both"/>
      </w:pPr>
      <w:r>
        <w:rPr>
          <w:sz w:val="20"/>
        </w:rPr>
      </w:r>
    </w:p>
    <w:tbl>
      <w:tblPr>
        <w:tblInd w:w="0" w:type="dxa"/>
        <w:tblLayout w:type="fixed"/>
        <w:tblCellMar>
          <w:top w:w="102" w:type="dxa"/>
          <w:left w:w="62" w:type="dxa"/>
          <w:bottom w:w="102" w:type="dxa"/>
          <w:right w:w="62" w:type="dxa"/>
        </w:tblCellMar>
      </w:tblPr>
      <w:tblGrid>
        <w:gridCol w:w="4362"/>
        <w:gridCol w:w="1531"/>
        <w:gridCol w:w="480"/>
        <w:gridCol w:w="2665"/>
      </w:tblGrid>
      <w:tr>
        <w:tc>
          <w:tcPr>
            <w:tcW w:w="4362" w:type="dxa"/>
            <w:tcBorders>
              <w:top w:val="nil"/>
              <w:left w:val="nil"/>
              <w:bottom w:val="nil"/>
              <w:right w:val="nil"/>
            </w:tcBorders>
          </w:tcPr>
          <w:p>
            <w:pPr>
              <w:pStyle w:val="0"/>
              <w:jc w:val="center"/>
            </w:pPr>
            <w:r>
              <w:rPr>
                <w:sz w:val="20"/>
              </w:rPr>
              <w:t xml:space="preserve">Начальник управления</w:t>
            </w:r>
          </w:p>
          <w:p>
            <w:pPr>
              <w:pStyle w:val="0"/>
              <w:jc w:val="center"/>
            </w:pPr>
            <w:r>
              <w:rPr>
                <w:sz w:val="20"/>
              </w:rPr>
              <w:t xml:space="preserve">по государственному регулированию</w:t>
            </w:r>
          </w:p>
          <w:p>
            <w:pPr>
              <w:pStyle w:val="0"/>
              <w:jc w:val="center"/>
            </w:pPr>
            <w:r>
              <w:rPr>
                <w:sz w:val="20"/>
              </w:rPr>
              <w:t xml:space="preserve">цен и тарифов</w:t>
            </w:r>
          </w:p>
          <w:p>
            <w:pPr>
              <w:pStyle w:val="0"/>
              <w:jc w:val="center"/>
            </w:pPr>
            <w:r>
              <w:rPr>
                <w:sz w:val="20"/>
              </w:rPr>
              <w:t xml:space="preserve">в Белгородской области</w:t>
            </w:r>
          </w:p>
        </w:tc>
        <w:tc>
          <w:tcPr>
            <w:tcW w:w="1531" w:type="dxa"/>
            <w:tcBorders>
              <w:top w:val="nil"/>
              <w:left w:val="nil"/>
              <w:bottom w:val="single" w:sz="4"/>
              <w:right w:val="nil"/>
            </w:tcBorders>
          </w:tcPr>
          <w:p>
            <w:pPr>
              <w:pStyle w:val="0"/>
              <w:jc w:val="center"/>
            </w:pPr>
            <w:r>
              <w:rPr>
                <w:sz w:val="20"/>
              </w:rPr>
            </w:r>
          </w:p>
        </w:tc>
        <w:tc>
          <w:tcPr>
            <w:tcW w:w="480" w:type="dxa"/>
            <w:tcBorders>
              <w:top w:val="nil"/>
              <w:left w:val="nil"/>
              <w:bottom w:val="nil"/>
              <w:right w:val="nil"/>
            </w:tcBorders>
          </w:tcPr>
          <w:p>
            <w:pPr>
              <w:pStyle w:val="0"/>
              <w:jc w:val="center"/>
            </w:pPr>
            <w:r>
              <w:rPr>
                <w:sz w:val="20"/>
              </w:rPr>
            </w:r>
          </w:p>
        </w:tc>
        <w:tc>
          <w:tcPr>
            <w:tcW w:w="2665" w:type="dxa"/>
            <w:tcBorders>
              <w:top w:val="nil"/>
              <w:left w:val="nil"/>
              <w:bottom w:val="single" w:sz="4"/>
              <w:right w:val="nil"/>
            </w:tcBorders>
          </w:tcPr>
          <w:p>
            <w:pPr>
              <w:pStyle w:val="0"/>
              <w:jc w:val="center"/>
            </w:pPr>
            <w:r>
              <w:rPr>
                <w:sz w:val="20"/>
              </w:rPr>
            </w:r>
          </w:p>
        </w:tc>
      </w:tr>
      <w:tr>
        <w:tc>
          <w:tcPr>
            <w:tcW w:w="4362" w:type="dxa"/>
            <w:tcBorders>
              <w:top w:val="nil"/>
              <w:left w:val="nil"/>
              <w:bottom w:val="nil"/>
              <w:right w:val="nil"/>
            </w:tcBorders>
          </w:tcPr>
          <w:p>
            <w:pPr>
              <w:pStyle w:val="0"/>
            </w:pPr>
            <w:r>
              <w:rPr>
                <w:sz w:val="20"/>
              </w:rPr>
            </w:r>
          </w:p>
        </w:tc>
        <w:tc>
          <w:tcPr>
            <w:tcW w:w="1531" w:type="dxa"/>
            <w:tcBorders>
              <w:top w:val="single" w:sz="4"/>
              <w:left w:val="nil"/>
              <w:bottom w:val="nil"/>
              <w:right w:val="nil"/>
            </w:tcBorders>
          </w:tcPr>
          <w:p>
            <w:pPr>
              <w:pStyle w:val="0"/>
              <w:jc w:val="center"/>
            </w:pPr>
            <w:r>
              <w:rPr>
                <w:sz w:val="20"/>
              </w:rPr>
              <w:t xml:space="preserve">(подпись)</w:t>
            </w:r>
          </w:p>
        </w:tc>
        <w:tc>
          <w:tcPr>
            <w:tcW w:w="480" w:type="dxa"/>
            <w:tcBorders>
              <w:top w:val="nil"/>
              <w:left w:val="nil"/>
              <w:bottom w:val="nil"/>
              <w:right w:val="nil"/>
            </w:tcBorders>
          </w:tcPr>
          <w:p>
            <w:pPr>
              <w:pStyle w:val="0"/>
              <w:jc w:val="center"/>
            </w:pPr>
            <w:r>
              <w:rPr>
                <w:sz w:val="20"/>
              </w:rPr>
            </w:r>
          </w:p>
        </w:tc>
        <w:tc>
          <w:tcPr>
            <w:tcW w:w="2665" w:type="dxa"/>
            <w:tcBorders>
              <w:top w:val="single" w:sz="4"/>
              <w:left w:val="nil"/>
              <w:bottom w:val="nil"/>
              <w:right w:val="nil"/>
            </w:tcBorders>
          </w:tcPr>
          <w:p>
            <w:pPr>
              <w:pStyle w:val="0"/>
              <w:jc w:val="center"/>
            </w:pPr>
            <w:r>
              <w:rPr>
                <w:sz w:val="20"/>
              </w:rPr>
              <w:t xml:space="preserve">(расшифровка подписи)</w:t>
            </w:r>
          </w:p>
        </w:tc>
      </w:tr>
      <w:tr>
        <w:tc>
          <w:tcPr>
            <w:tcW w:w="4362" w:type="dxa"/>
            <w:tcBorders>
              <w:top w:val="nil"/>
              <w:left w:val="nil"/>
              <w:bottom w:val="nil"/>
              <w:right w:val="nil"/>
            </w:tcBorders>
          </w:tcPr>
          <w:p>
            <w:pPr>
              <w:pStyle w:val="0"/>
              <w:ind w:firstLine="283"/>
              <w:jc w:val="both"/>
            </w:pPr>
            <w:r>
              <w:rPr>
                <w:sz w:val="20"/>
              </w:rPr>
              <w:t xml:space="preserve">М.П.</w:t>
            </w:r>
          </w:p>
        </w:tc>
        <w:tc>
          <w:tcPr>
            <w:tcW w:w="1531" w:type="dxa"/>
            <w:tcBorders>
              <w:top w:val="nil"/>
              <w:left w:val="nil"/>
              <w:bottom w:val="nil"/>
              <w:right w:val="nil"/>
            </w:tcBorders>
          </w:tcPr>
          <w:p>
            <w:pPr>
              <w:pStyle w:val="0"/>
              <w:jc w:val="center"/>
            </w:pPr>
            <w:r>
              <w:rPr>
                <w:sz w:val="20"/>
              </w:rPr>
            </w:r>
          </w:p>
        </w:tc>
        <w:tc>
          <w:tcPr>
            <w:tcW w:w="480" w:type="dxa"/>
            <w:tcBorders>
              <w:top w:val="nil"/>
              <w:left w:val="nil"/>
              <w:bottom w:val="nil"/>
              <w:right w:val="nil"/>
            </w:tcBorders>
          </w:tcPr>
          <w:p>
            <w:pPr>
              <w:pStyle w:val="0"/>
              <w:jc w:val="center"/>
            </w:pPr>
            <w:r>
              <w:rPr>
                <w:sz w:val="20"/>
              </w:rPr>
            </w:r>
          </w:p>
        </w:tc>
        <w:tc>
          <w:tcPr>
            <w:tcW w:w="2665" w:type="dxa"/>
            <w:tcBorders>
              <w:top w:val="nil"/>
              <w:left w:val="nil"/>
              <w:bottom w:val="nil"/>
              <w:right w:val="nil"/>
            </w:tcBorders>
          </w:tcPr>
          <w:p>
            <w:pPr>
              <w:pStyle w:val="0"/>
              <w:jc w:val="center"/>
            </w:pPr>
            <w:r>
              <w:rPr>
                <w:sz w:val="20"/>
              </w:rPr>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4</w:t>
      </w:r>
    </w:p>
    <w:p>
      <w:pPr>
        <w:pStyle w:val="0"/>
        <w:jc w:val="right"/>
      </w:pPr>
      <w:r>
        <w:rPr>
          <w:sz w:val="20"/>
        </w:rPr>
        <w:t xml:space="preserve">к Порядку предоставления субсидий</w:t>
      </w:r>
    </w:p>
    <w:p>
      <w:pPr>
        <w:pStyle w:val="0"/>
        <w:jc w:val="right"/>
      </w:pPr>
      <w:r>
        <w:rPr>
          <w:sz w:val="20"/>
        </w:rPr>
        <w:t xml:space="preserve">ГУП "Белоблводоканал" на возмещение затрат,</w:t>
      </w:r>
    </w:p>
    <w:p>
      <w:pPr>
        <w:pStyle w:val="0"/>
        <w:jc w:val="right"/>
      </w:pPr>
      <w:r>
        <w:rPr>
          <w:sz w:val="20"/>
        </w:rPr>
        <w:t xml:space="preserve">связанных с производственной деятельностью</w:t>
      </w:r>
    </w:p>
    <w:p>
      <w:pPr>
        <w:pStyle w:val="0"/>
        <w:jc w:val="right"/>
      </w:pPr>
      <w:r>
        <w:rPr>
          <w:sz w:val="20"/>
        </w:rPr>
      </w:r>
    </w:p>
    <w:p>
      <w:pPr>
        <w:pStyle w:val="0"/>
        <w:jc w:val="right"/>
      </w:pPr>
      <w:r>
        <w:rPr>
          <w:sz w:val="20"/>
        </w:rPr>
        <w:t xml:space="preserve">Форма</w:t>
      </w:r>
    </w:p>
    <w:p>
      <w:pPr>
        <w:pStyle w:val="0"/>
        <w:jc w:val="both"/>
      </w:pPr>
      <w:r>
        <w:rPr>
          <w:sz w:val="20"/>
        </w:rPr>
      </w:r>
    </w:p>
    <w:bookmarkStart w:id="339" w:name="P339"/>
    <w:bookmarkEnd w:id="339"/>
    <w:p>
      <w:pPr>
        <w:pStyle w:val="0"/>
        <w:jc w:val="center"/>
      </w:pPr>
      <w:r>
        <w:rPr>
          <w:sz w:val="20"/>
        </w:rPr>
        <w:t xml:space="preserve">Отчет</w:t>
      </w:r>
    </w:p>
    <w:p>
      <w:pPr>
        <w:pStyle w:val="0"/>
        <w:jc w:val="center"/>
      </w:pPr>
      <w:r>
        <w:rPr>
          <w:sz w:val="20"/>
        </w:rPr>
        <w:t xml:space="preserve">о расходовании средств субсидий</w:t>
      </w:r>
    </w:p>
    <w:p>
      <w:pPr>
        <w:pStyle w:val="0"/>
        <w:jc w:val="center"/>
      </w:pPr>
      <w:r>
        <w:rPr>
          <w:sz w:val="20"/>
        </w:rPr>
        <w:t xml:space="preserve">от ________ N __________</w:t>
      </w:r>
    </w:p>
    <w:p>
      <w:pPr>
        <w:pStyle w:val="0"/>
        <w:jc w:val="center"/>
      </w:pPr>
      <w:r>
        <w:rPr>
          <w:sz w:val="20"/>
        </w:rPr>
        <w:t xml:space="preserve">с _________ по ____________ г.</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891"/>
        <w:gridCol w:w="2438"/>
        <w:gridCol w:w="1848"/>
        <w:gridCol w:w="1399"/>
      </w:tblGrid>
      <w:tr>
        <w:tc>
          <w:tcPr>
            <w:tcW w:w="454" w:type="dxa"/>
          </w:tcPr>
          <w:p>
            <w:pPr>
              <w:pStyle w:val="0"/>
              <w:jc w:val="center"/>
            </w:pPr>
            <w:r>
              <w:rPr>
                <w:sz w:val="20"/>
              </w:rPr>
              <w:t xml:space="preserve">N п/п</w:t>
            </w:r>
          </w:p>
        </w:tc>
        <w:tc>
          <w:tcPr>
            <w:tcW w:w="2891" w:type="dxa"/>
          </w:tcPr>
          <w:p>
            <w:pPr>
              <w:pStyle w:val="0"/>
              <w:jc w:val="center"/>
            </w:pPr>
            <w:r>
              <w:rPr>
                <w:sz w:val="20"/>
              </w:rPr>
              <w:t xml:space="preserve">Наименование получателя субсидий, ИНН</w:t>
            </w:r>
          </w:p>
        </w:tc>
        <w:tc>
          <w:tcPr>
            <w:tcW w:w="2438" w:type="dxa"/>
          </w:tcPr>
          <w:p>
            <w:pPr>
              <w:pStyle w:val="0"/>
              <w:jc w:val="center"/>
            </w:pPr>
            <w:r>
              <w:rPr>
                <w:sz w:val="20"/>
              </w:rPr>
              <w:t xml:space="preserve">Номер и дата документа</w:t>
            </w:r>
          </w:p>
          <w:p>
            <w:pPr>
              <w:pStyle w:val="0"/>
              <w:jc w:val="center"/>
            </w:pPr>
            <w:r>
              <w:rPr>
                <w:sz w:val="20"/>
              </w:rPr>
              <w:t xml:space="preserve">(основание платежа)</w:t>
            </w:r>
          </w:p>
        </w:tc>
        <w:tc>
          <w:tcPr>
            <w:tcW w:w="1848" w:type="dxa"/>
          </w:tcPr>
          <w:p>
            <w:pPr>
              <w:pStyle w:val="0"/>
              <w:jc w:val="center"/>
            </w:pPr>
            <w:r>
              <w:rPr>
                <w:sz w:val="20"/>
              </w:rPr>
              <w:t xml:space="preserve">Фактически выплачено, тыс. руб.</w:t>
            </w:r>
          </w:p>
        </w:tc>
        <w:tc>
          <w:tcPr>
            <w:tcW w:w="1399" w:type="dxa"/>
          </w:tcPr>
          <w:p>
            <w:pPr>
              <w:pStyle w:val="0"/>
              <w:jc w:val="center"/>
            </w:pPr>
            <w:r>
              <w:rPr>
                <w:sz w:val="20"/>
              </w:rPr>
              <w:t xml:space="preserve">Примечание</w:t>
            </w:r>
          </w:p>
        </w:tc>
      </w:tr>
      <w:tr>
        <w:tc>
          <w:tcPr>
            <w:tcW w:w="454" w:type="dxa"/>
          </w:tcPr>
          <w:p>
            <w:pPr>
              <w:pStyle w:val="0"/>
            </w:pPr>
            <w:r>
              <w:rPr>
                <w:sz w:val="20"/>
              </w:rPr>
              <w:t xml:space="preserve">1.</w:t>
            </w:r>
          </w:p>
        </w:tc>
        <w:tc>
          <w:tcPr>
            <w:tcW w:w="2891" w:type="dxa"/>
          </w:tcPr>
          <w:p>
            <w:pPr>
              <w:pStyle w:val="0"/>
            </w:pPr>
            <w:r>
              <w:rPr>
                <w:sz w:val="20"/>
              </w:rPr>
            </w:r>
          </w:p>
        </w:tc>
        <w:tc>
          <w:tcPr>
            <w:tcW w:w="2438" w:type="dxa"/>
          </w:tcPr>
          <w:p>
            <w:pPr>
              <w:pStyle w:val="0"/>
            </w:pPr>
            <w:r>
              <w:rPr>
                <w:sz w:val="20"/>
              </w:rPr>
            </w:r>
          </w:p>
        </w:tc>
        <w:tc>
          <w:tcPr>
            <w:tcW w:w="1848" w:type="dxa"/>
          </w:tcPr>
          <w:p>
            <w:pPr>
              <w:pStyle w:val="0"/>
            </w:pPr>
            <w:r>
              <w:rPr>
                <w:sz w:val="20"/>
              </w:rPr>
            </w:r>
          </w:p>
        </w:tc>
        <w:tc>
          <w:tcPr>
            <w:tcW w:w="1399" w:type="dxa"/>
          </w:tcPr>
          <w:p>
            <w:pPr>
              <w:pStyle w:val="0"/>
            </w:pPr>
            <w:r>
              <w:rPr>
                <w:sz w:val="20"/>
              </w:rPr>
            </w:r>
          </w:p>
        </w:tc>
      </w:tr>
      <w:tr>
        <w:tc>
          <w:tcPr>
            <w:tcW w:w="454" w:type="dxa"/>
          </w:tcPr>
          <w:p>
            <w:pPr>
              <w:pStyle w:val="0"/>
            </w:pPr>
            <w:r>
              <w:rPr>
                <w:sz w:val="20"/>
              </w:rPr>
            </w:r>
          </w:p>
        </w:tc>
        <w:tc>
          <w:tcPr>
            <w:tcW w:w="2891" w:type="dxa"/>
          </w:tcPr>
          <w:p>
            <w:pPr>
              <w:pStyle w:val="0"/>
            </w:pPr>
            <w:r>
              <w:rPr>
                <w:sz w:val="20"/>
              </w:rPr>
            </w:r>
          </w:p>
        </w:tc>
        <w:tc>
          <w:tcPr>
            <w:tcW w:w="2438" w:type="dxa"/>
          </w:tcPr>
          <w:p>
            <w:pPr>
              <w:pStyle w:val="0"/>
            </w:pPr>
            <w:r>
              <w:rPr>
                <w:sz w:val="20"/>
              </w:rPr>
            </w:r>
          </w:p>
        </w:tc>
        <w:tc>
          <w:tcPr>
            <w:tcW w:w="1848" w:type="dxa"/>
          </w:tcPr>
          <w:p>
            <w:pPr>
              <w:pStyle w:val="0"/>
            </w:pPr>
            <w:r>
              <w:rPr>
                <w:sz w:val="20"/>
              </w:rPr>
            </w:r>
          </w:p>
        </w:tc>
        <w:tc>
          <w:tcPr>
            <w:tcW w:w="1399" w:type="dxa"/>
          </w:tcPr>
          <w:p>
            <w:pPr>
              <w:pStyle w:val="0"/>
            </w:pPr>
            <w:r>
              <w:rPr>
                <w:sz w:val="20"/>
              </w:rPr>
            </w:r>
          </w:p>
        </w:tc>
      </w:tr>
      <w:tr>
        <w:tc>
          <w:tcPr>
            <w:tcW w:w="454" w:type="dxa"/>
          </w:tcPr>
          <w:p>
            <w:pPr>
              <w:pStyle w:val="0"/>
            </w:pPr>
            <w:r>
              <w:rPr>
                <w:sz w:val="20"/>
              </w:rPr>
            </w:r>
          </w:p>
        </w:tc>
        <w:tc>
          <w:tcPr>
            <w:tcW w:w="2891" w:type="dxa"/>
          </w:tcPr>
          <w:p>
            <w:pPr>
              <w:pStyle w:val="0"/>
            </w:pPr>
            <w:r>
              <w:rPr>
                <w:sz w:val="20"/>
              </w:rPr>
            </w:r>
          </w:p>
        </w:tc>
        <w:tc>
          <w:tcPr>
            <w:tcW w:w="2438" w:type="dxa"/>
          </w:tcPr>
          <w:p>
            <w:pPr>
              <w:pStyle w:val="0"/>
            </w:pPr>
            <w:r>
              <w:rPr>
                <w:sz w:val="20"/>
              </w:rPr>
            </w:r>
          </w:p>
        </w:tc>
        <w:tc>
          <w:tcPr>
            <w:tcW w:w="1848" w:type="dxa"/>
          </w:tcPr>
          <w:p>
            <w:pPr>
              <w:pStyle w:val="0"/>
            </w:pPr>
            <w:r>
              <w:rPr>
                <w:sz w:val="20"/>
              </w:rPr>
            </w:r>
          </w:p>
        </w:tc>
        <w:tc>
          <w:tcPr>
            <w:tcW w:w="1399" w:type="dxa"/>
          </w:tcPr>
          <w:p>
            <w:pPr>
              <w:pStyle w:val="0"/>
            </w:pPr>
            <w:r>
              <w:rPr>
                <w:sz w:val="20"/>
              </w:rPr>
            </w:r>
          </w:p>
        </w:tc>
      </w:tr>
      <w:tr>
        <w:tc>
          <w:tcPr>
            <w:gridSpan w:val="3"/>
            <w:tcW w:w="5783" w:type="dxa"/>
          </w:tcPr>
          <w:p>
            <w:pPr>
              <w:pStyle w:val="0"/>
            </w:pPr>
            <w:r>
              <w:rPr>
                <w:sz w:val="20"/>
              </w:rPr>
              <w:t xml:space="preserve">итого</w:t>
            </w:r>
          </w:p>
        </w:tc>
        <w:tc>
          <w:tcPr>
            <w:tcW w:w="1848" w:type="dxa"/>
          </w:tcPr>
          <w:p>
            <w:pPr>
              <w:pStyle w:val="0"/>
            </w:pPr>
            <w:r>
              <w:rPr>
                <w:sz w:val="20"/>
              </w:rPr>
            </w:r>
          </w:p>
        </w:tc>
        <w:tc>
          <w:tcPr>
            <w:tcW w:w="1399" w:type="dxa"/>
          </w:tcPr>
          <w:p>
            <w:pPr>
              <w:pStyle w:val="0"/>
            </w:pPr>
            <w:r>
              <w:rPr>
                <w:sz w:val="20"/>
              </w:rPr>
            </w:r>
          </w:p>
        </w:tc>
      </w:tr>
    </w:tbl>
    <w:p>
      <w:pPr>
        <w:pStyle w:val="0"/>
        <w:jc w:val="both"/>
      </w:pPr>
      <w:r>
        <w:rPr>
          <w:sz w:val="20"/>
        </w:rPr>
      </w:r>
    </w:p>
    <w:p>
      <w:pPr>
        <w:pStyle w:val="1"/>
        <w:jc w:val="both"/>
      </w:pPr>
      <w:r>
        <w:rPr>
          <w:sz w:val="20"/>
        </w:rPr>
        <w:t xml:space="preserve">Руководитель (уполномоченное лицо)</w:t>
      </w:r>
    </w:p>
    <w:p>
      <w:pPr>
        <w:pStyle w:val="1"/>
        <w:jc w:val="both"/>
      </w:pPr>
      <w:r>
        <w:rPr>
          <w:sz w:val="20"/>
        </w:rPr>
        <w:t xml:space="preserve">получателя субсидий    ___________________ __________________________</w:t>
      </w:r>
    </w:p>
    <w:p>
      <w:pPr>
        <w:pStyle w:val="1"/>
        <w:jc w:val="both"/>
      </w:pPr>
      <w:r>
        <w:rPr>
          <w:sz w:val="20"/>
        </w:rPr>
        <w:t xml:space="preserve">                            (подпись)         (расшифровка подписи)</w:t>
      </w:r>
    </w:p>
    <w:p>
      <w:pPr>
        <w:pStyle w:val="1"/>
        <w:jc w:val="both"/>
      </w:pPr>
      <w:r>
        <w:rPr>
          <w:sz w:val="20"/>
        </w:rPr>
        <w:t xml:space="preserve">М.П.</w:t>
      </w:r>
    </w:p>
    <w:p>
      <w:pPr>
        <w:pStyle w:val="1"/>
        <w:jc w:val="both"/>
      </w:pPr>
      <w:r>
        <w:rPr>
          <w:sz w:val="20"/>
        </w:rPr>
      </w:r>
    </w:p>
    <w:p>
      <w:pPr>
        <w:pStyle w:val="1"/>
        <w:jc w:val="both"/>
      </w:pPr>
      <w:r>
        <w:rPr>
          <w:sz w:val="20"/>
        </w:rPr>
        <w:t xml:space="preserve">Главный бухгалтер      ___________________ __________________________</w:t>
      </w:r>
    </w:p>
    <w:p>
      <w:pPr>
        <w:pStyle w:val="1"/>
        <w:jc w:val="both"/>
      </w:pPr>
      <w:r>
        <w:rPr>
          <w:sz w:val="20"/>
        </w:rPr>
        <w:t xml:space="preserve">                            (подпись)         (расшифровка подписи)</w:t>
      </w:r>
    </w:p>
    <w:p>
      <w:pPr>
        <w:pStyle w:val="1"/>
        <w:jc w:val="both"/>
      </w:pPr>
      <w:r>
        <w:rPr>
          <w:sz w:val="20"/>
        </w:rPr>
        <w:t xml:space="preserve">"__" _____________ 20__ г.</w:t>
      </w:r>
    </w:p>
    <w:p>
      <w:pPr>
        <w:pStyle w:val="1"/>
        <w:jc w:val="both"/>
      </w:pPr>
      <w:r>
        <w:rPr>
          <w:sz w:val="20"/>
        </w:rPr>
        <w:t xml:space="preserve">М.П.</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29.08.2022 N 510-пп</w:t>
            <w:br/>
            <w:t>(ред. от 26.12.2022)</w:t>
            <w:br/>
            <w:t>"Об утверждении Порядка предос...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27C66A4495454BCC8A062317C2BA0E75BDDA50C9061BEA398858A66518BEB5BA106B3E3CD4355D937292A0A884D4084FD98F002752F03B7C7143B0b6M7J" TargetMode = "External"/>
	<Relationship Id="rId8" Type="http://schemas.openxmlformats.org/officeDocument/2006/relationships/hyperlink" Target="consultantplus://offline/ref=27C66A4495454BCC8A063D1AD4D65478BDD30CC50E19E46BD307FD384FB7BFED5724677E903B5F9A7799F4FCCBD554098E9C022052F23E60b7M0J" TargetMode = "External"/>
	<Relationship Id="rId9" Type="http://schemas.openxmlformats.org/officeDocument/2006/relationships/hyperlink" Target="consultantplus://offline/ref=27C66A4495454BCC8A063D1AD4D65478BDD00DCD0919E46BD307FD384FB7BFED45243F72923A4293778CA2AD8Db8M3J" TargetMode = "External"/>
	<Relationship Id="rId10" Type="http://schemas.openxmlformats.org/officeDocument/2006/relationships/hyperlink" Target="consultantplus://offline/ref=27C66A4495454BCC8A062317C2BA0E75BDDA50C9071EEF3B8C58A66518BEB5BA106B3E3CD4355D96769AA8AF84D4084FD98F002752F03B7C7143B0b6M7J" TargetMode = "External"/>
	<Relationship Id="rId11" Type="http://schemas.openxmlformats.org/officeDocument/2006/relationships/hyperlink" Target="consultantplus://offline/ref=27C66A4495454BCC8A062317C2BA0E75BDDA50C9061BEA398858A66518BEB5BA106B3E3CD4355D937292A0AB84D4084FD98F002752F03B7C7143B0b6M7J" TargetMode = "External"/>
	<Relationship Id="rId12" Type="http://schemas.openxmlformats.org/officeDocument/2006/relationships/hyperlink" Target="consultantplus://offline/ref=27C66A4495454BCC8A062317C2BA0E75BDDA50C9071EEF3B8C58A66518BEB5BA106B3E3CD4355D96769AA8AF84D4084FD98F002752F03B7C7143B0b6M7J" TargetMode = "External"/>
	<Relationship Id="rId13" Type="http://schemas.openxmlformats.org/officeDocument/2006/relationships/hyperlink" Target="consultantplus://offline/ref=27C66A4495454BCC8A062317C2BA0E75BDDA50C9061BEA398858A66518BEB5BA106B3E3CD4355D937292A0AA84D4084FD98F002752F03B7C7143B0b6M7J" TargetMode = "External"/>
	<Relationship Id="rId14" Type="http://schemas.openxmlformats.org/officeDocument/2006/relationships/hyperlink" Target="consultantplus://offline/ref=27C66A4495454BCC8A062317C2BA0E75BDDA50C9061BEA398858A66518BEB5BA106B3E3CD4355D937292A0A484D4084FD98F002752F03B7C7143B0b6M7J" TargetMode = "External"/>
	<Relationship Id="rId15" Type="http://schemas.openxmlformats.org/officeDocument/2006/relationships/hyperlink" Target="consultantplus://offline/ref=27C66A4495454BCC8A063D1AD4D65478BDD30CC50E19E46BD307FD384FB7BFED5724677C9738589826C3E4F882825B158C871C274CF2b3MDJ" TargetMode = "External"/>
	<Relationship Id="rId16" Type="http://schemas.openxmlformats.org/officeDocument/2006/relationships/hyperlink" Target="consultantplus://offline/ref=27C66A4495454BCC8A063D1AD4D65478BDD30CC50E19E46BD307FD384FB7BFED5724677C973A5E9826C3E4F882825B158C871C274CF2b3MDJ" TargetMode = "External"/>
	<Relationship Id="rId17" Type="http://schemas.openxmlformats.org/officeDocument/2006/relationships/image" Target="media/image2.wmf"/>
	<Relationship Id="rId18" Type="http://schemas.openxmlformats.org/officeDocument/2006/relationships/hyperlink" Target="consultantplus://offline/ref=27C66A4495454BCC8A062317C2BA0E75BDDA50C9061BEA398858A66518BEB5BA106B3E3CD4355D937292A1AC84D4084FD98F002752F03B7C7143B0b6M7J" TargetMode = "External"/>
	<Relationship Id="rId19" Type="http://schemas.openxmlformats.org/officeDocument/2006/relationships/hyperlink" Target="consultantplus://offline/ref=27C66A4495454BCC8A063D1AD4D65478BDD30CC50E19E46BD307FD384FB7BFED5724677C9738589826C3E4F882825B158C871C274CF2b3MDJ" TargetMode = "External"/>
	<Relationship Id="rId20" Type="http://schemas.openxmlformats.org/officeDocument/2006/relationships/hyperlink" Target="consultantplus://offline/ref=27C66A4495454BCC8A063D1AD4D65478BDD30CC50E19E46BD307FD384FB7BFED5724677C973A5E9826C3E4F882825B158C871C274CF2b3MD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29.08.2022 N 510-пп
(ред. от 26.12.2022)
"Об утверждении Порядка предоставления субсидий ГУП "Белоблводоканал" на возмещение затрат, связанных с производственной деятельностью"</dc:title>
  <dcterms:created xsi:type="dcterms:W3CDTF">2023-05-22T09:12:27Z</dcterms:created>
</cp:coreProperties>
</file>